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4933BA70"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D6CB8">
        <w:rPr>
          <w:rFonts w:cs="Arial"/>
          <w:noProof w:val="0"/>
          <w:sz w:val="24"/>
          <w:szCs w:val="24"/>
          <w:lang w:val="en-GB"/>
        </w:rPr>
        <w:t>4</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46103B">
        <w:rPr>
          <w:rFonts w:cs="Arial"/>
          <w:bCs/>
          <w:noProof w:val="0"/>
          <w:sz w:val="24"/>
          <w:lang w:val="en-GB" w:eastAsia="ja-JP"/>
        </w:rPr>
        <w:t>8096</w:t>
      </w:r>
    </w:p>
    <w:p w14:paraId="7353AD93" w14:textId="0ED98323" w:rsidR="00B945C1" w:rsidRPr="0004564C" w:rsidRDefault="007D6CB8"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 21</w:t>
      </w:r>
      <w:r w:rsidRPr="007D6CB8">
        <w:rPr>
          <w:rFonts w:eastAsia="PMingLiU" w:cs="Arial"/>
          <w:sz w:val="24"/>
          <w:vertAlign w:val="superscript"/>
          <w:lang w:val="en-GB" w:eastAsia="zh-TW"/>
        </w:rPr>
        <w:t>st</w:t>
      </w:r>
      <w:r>
        <w:rPr>
          <w:rFonts w:eastAsia="PMingLiU" w:cs="Arial"/>
          <w:sz w:val="24"/>
          <w:lang w:val="en-GB" w:eastAsia="zh-TW"/>
        </w:rPr>
        <w:t xml:space="preserve"> August </w:t>
      </w:r>
      <w:r w:rsidR="00574753">
        <w:rPr>
          <w:rFonts w:eastAsia="PMingLiU" w:cs="Arial"/>
          <w:sz w:val="24"/>
          <w:lang w:val="en-GB" w:eastAsia="zh-TW"/>
        </w:rPr>
        <w:t xml:space="preserve">– </w:t>
      </w:r>
      <w:r w:rsidR="005373E1">
        <w:rPr>
          <w:rFonts w:eastAsia="PMingLiU" w:cs="Arial"/>
          <w:sz w:val="24"/>
          <w:lang w:val="en-GB" w:eastAsia="zh-TW"/>
        </w:rPr>
        <w:t>2</w:t>
      </w:r>
      <w:r>
        <w:rPr>
          <w:rFonts w:eastAsia="PMingLiU" w:cs="Arial"/>
          <w:sz w:val="24"/>
          <w:lang w:val="en-GB" w:eastAsia="zh-TW"/>
        </w:rPr>
        <w:t>5</w:t>
      </w:r>
      <w:r w:rsidRPr="007D6CB8">
        <w:rPr>
          <w:rFonts w:eastAsia="PMingLiU" w:cs="Arial"/>
          <w:sz w:val="24"/>
          <w:vertAlign w:val="superscript"/>
          <w:lang w:val="en-GB" w:eastAsia="zh-TW"/>
        </w:rPr>
        <w:t>th</w:t>
      </w:r>
      <w:r>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5A555AB2"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9A1E42">
        <w:rPr>
          <w:rFonts w:cs="Arial"/>
          <w:b/>
          <w:bCs/>
          <w:sz w:val="24"/>
        </w:rPr>
        <w:t>1.</w:t>
      </w:r>
      <w:r w:rsidR="00164E39">
        <w:rPr>
          <w:rFonts w:cs="Arial"/>
          <w:b/>
          <w:bCs/>
          <w:sz w:val="24"/>
        </w:rPr>
        <w:t>1</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16363AD5"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164E39">
        <w:rPr>
          <w:rFonts w:ascii="Arial" w:hAnsi="Arial" w:cs="Arial"/>
          <w:b/>
          <w:bCs/>
          <w:szCs w:val="24"/>
        </w:rPr>
        <w:t>Reference signal design 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0D8E20" w14:textId="661E1B30" w:rsidR="00A46019" w:rsidRDefault="00CC3DA9" w:rsidP="00CC3DA9">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express our view for the following issues</w:t>
      </w:r>
      <w:r w:rsidR="0039165B">
        <w:rPr>
          <w:sz w:val="22"/>
          <w:lang w:val="en-GB"/>
        </w:rPr>
        <w:t xml:space="preserve"> of interest</w:t>
      </w:r>
      <w:r>
        <w:rPr>
          <w:sz w:val="22"/>
          <w:lang w:val="en-GB"/>
        </w:rPr>
        <w:t>,</w:t>
      </w:r>
    </w:p>
    <w:p w14:paraId="60876162" w14:textId="6CDC91ED" w:rsidR="00806E11" w:rsidRDefault="00164E39" w:rsidP="00BC13FE">
      <w:pPr>
        <w:pStyle w:val="ListParagraph"/>
        <w:numPr>
          <w:ilvl w:val="0"/>
          <w:numId w:val="4"/>
        </w:numPr>
        <w:ind w:left="270" w:hanging="270"/>
        <w:jc w:val="both"/>
        <w:rPr>
          <w:sz w:val="22"/>
          <w:lang w:val="en-GB"/>
        </w:rPr>
      </w:pPr>
      <w:r>
        <w:rPr>
          <w:sz w:val="22"/>
          <w:lang w:val="en-GB"/>
        </w:rPr>
        <w:t>AGC symbol within the dedicated resource pool</w:t>
      </w:r>
    </w:p>
    <w:p w14:paraId="27BE3ED1" w14:textId="485C1874" w:rsidR="00806E11" w:rsidRPr="00FD5652" w:rsidRDefault="00ED7937" w:rsidP="00BC13FE">
      <w:pPr>
        <w:pStyle w:val="ListParagraph"/>
        <w:numPr>
          <w:ilvl w:val="0"/>
          <w:numId w:val="4"/>
        </w:numPr>
        <w:ind w:left="270" w:hanging="270"/>
        <w:jc w:val="both"/>
        <w:rPr>
          <w:sz w:val="22"/>
          <w:lang w:val="en-GB"/>
        </w:rPr>
      </w:pPr>
      <w:r>
        <w:rPr>
          <w:sz w:val="22"/>
          <w:lang w:val="en-GB"/>
        </w:rPr>
        <w:t>Sequence ID generation</w:t>
      </w:r>
    </w:p>
    <w:p w14:paraId="1A4AA01B" w14:textId="61894DCC" w:rsidR="009904FB" w:rsidRDefault="00CE040C" w:rsidP="00BC13FE">
      <w:pPr>
        <w:pStyle w:val="ListParagraph"/>
        <w:numPr>
          <w:ilvl w:val="0"/>
          <w:numId w:val="4"/>
        </w:numPr>
        <w:ind w:left="270" w:hanging="270"/>
        <w:jc w:val="both"/>
        <w:rPr>
          <w:sz w:val="22"/>
          <w:lang w:val="en-GB"/>
        </w:rPr>
      </w:pPr>
      <w:r>
        <w:rPr>
          <w:sz w:val="22"/>
          <w:lang w:val="en-GB"/>
        </w:rPr>
        <w:t>Gap symbol for each TDMed SL-PRS</w:t>
      </w:r>
    </w:p>
    <w:p w14:paraId="6B7A6326" w14:textId="0C67C41B" w:rsidR="00E73131" w:rsidRPr="0077210E" w:rsidRDefault="00E73131" w:rsidP="00BC13FE">
      <w:pPr>
        <w:pStyle w:val="ListParagraph"/>
        <w:numPr>
          <w:ilvl w:val="0"/>
          <w:numId w:val="4"/>
        </w:numPr>
        <w:ind w:left="270" w:hanging="270"/>
        <w:jc w:val="both"/>
        <w:rPr>
          <w:sz w:val="22"/>
          <w:lang w:val="en-GB"/>
        </w:rPr>
      </w:pPr>
      <w:r>
        <w:rPr>
          <w:sz w:val="22"/>
          <w:lang w:val="en-GB"/>
        </w:rPr>
        <w:t>The support of comb size</w:t>
      </w:r>
      <w:r w:rsidR="004C6BFA">
        <w:rPr>
          <w:sz w:val="22"/>
          <w:lang w:val="en-GB"/>
        </w:rPr>
        <w:t xml:space="preserve"> in the dedicated resource pool</w:t>
      </w:r>
    </w:p>
    <w:p w14:paraId="3BECE6ED" w14:textId="77777777" w:rsidR="009904FB" w:rsidRPr="00A46019" w:rsidRDefault="009904FB" w:rsidP="00CC3DA9">
      <w:pPr>
        <w:jc w:val="both"/>
        <w:rPr>
          <w:sz w:val="22"/>
        </w:rPr>
      </w:pPr>
    </w:p>
    <w:p w14:paraId="64EE457D" w14:textId="7310A167" w:rsidR="009904FB" w:rsidRDefault="00164E39"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AGC symbol within dedicated resource pool</w:t>
      </w:r>
    </w:p>
    <w:tbl>
      <w:tblPr>
        <w:tblStyle w:val="TableGrid"/>
        <w:tblW w:w="0" w:type="auto"/>
        <w:tblLook w:val="04A0" w:firstRow="1" w:lastRow="0" w:firstColumn="1" w:lastColumn="0" w:noHBand="0" w:noVBand="1"/>
      </w:tblPr>
      <w:tblGrid>
        <w:gridCol w:w="9629"/>
      </w:tblGrid>
      <w:tr w:rsidR="00352A0F" w:rsidRPr="00FD5652" w14:paraId="0E36A225" w14:textId="77777777" w:rsidTr="00352A0F">
        <w:tc>
          <w:tcPr>
            <w:tcW w:w="9629" w:type="dxa"/>
          </w:tcPr>
          <w:p w14:paraId="24D874AA" w14:textId="77777777" w:rsidR="00FC2F3C" w:rsidRPr="00FC2F3C" w:rsidRDefault="00FC2F3C" w:rsidP="00FC2F3C">
            <w:pPr>
              <w:widowControl/>
              <w:rPr>
                <w:rFonts w:ascii="Times New Roman" w:eastAsia="Batang" w:hAnsi="Times New Roman" w:cs="Times New Roman"/>
                <w:b/>
                <w:iCs/>
                <w:kern w:val="0"/>
                <w:sz w:val="16"/>
                <w:szCs w:val="16"/>
                <w:lang w:val="en-GB" w:eastAsia="en-US"/>
              </w:rPr>
            </w:pPr>
            <w:r w:rsidRPr="00FC2F3C">
              <w:rPr>
                <w:rFonts w:ascii="Times New Roman" w:eastAsia="Batang" w:hAnsi="Times New Roman" w:cs="Times New Roman"/>
                <w:b/>
                <w:iCs/>
                <w:kern w:val="0"/>
                <w:sz w:val="16"/>
                <w:szCs w:val="16"/>
                <w:highlight w:val="green"/>
                <w:lang w:val="en-GB" w:eastAsia="en-US"/>
              </w:rPr>
              <w:t>Agreement</w:t>
            </w:r>
          </w:p>
          <w:p w14:paraId="1F006B9C" w14:textId="77777777" w:rsidR="00FC2F3C" w:rsidRPr="00FC2F3C" w:rsidRDefault="00FC2F3C" w:rsidP="00FC2F3C">
            <w:pPr>
              <w:widowControl/>
              <w:rPr>
                <w:rFonts w:ascii="Times New Roman" w:eastAsia="Calibri" w:hAnsi="Times New Roman" w:cs="Times New Roman"/>
                <w:iCs/>
                <w:kern w:val="0"/>
                <w:sz w:val="16"/>
                <w:szCs w:val="16"/>
                <w:lang w:val="en-GB" w:eastAsia="en-US"/>
              </w:rPr>
            </w:pPr>
            <w:r w:rsidRPr="00FC2F3C">
              <w:rPr>
                <w:rFonts w:ascii="Times New Roman" w:eastAsia="Calibri" w:hAnsi="Times New Roman" w:cs="Times New Roman"/>
                <w:iCs/>
                <w:kern w:val="0"/>
                <w:sz w:val="16"/>
                <w:szCs w:val="16"/>
                <w:lang w:val="en-GB" w:eastAsia="en-US"/>
              </w:rPr>
              <w:t>In a dedicated resource pool, a SL PRS resource is immediately preceded by an AGC symbol unless RAN1 explicitly agrees that an AGC symbol is not included for specific cases (if any).</w:t>
            </w:r>
          </w:p>
          <w:p w14:paraId="5B478790" w14:textId="77777777" w:rsidR="00352A0F" w:rsidRPr="00FC2F3C" w:rsidRDefault="00352A0F" w:rsidP="00164E39">
            <w:pPr>
              <w:widowControl/>
              <w:snapToGrid w:val="0"/>
              <w:rPr>
                <w:rFonts w:cstheme="minorHAnsi"/>
                <w:sz w:val="16"/>
                <w:szCs w:val="16"/>
                <w:lang w:val="en-GB"/>
              </w:rPr>
            </w:pPr>
          </w:p>
          <w:p w14:paraId="58249360" w14:textId="7EB40598" w:rsidR="00164E39" w:rsidRPr="00FD5652" w:rsidRDefault="00164E39" w:rsidP="00164E39">
            <w:pPr>
              <w:widowControl/>
              <w:snapToGrid w:val="0"/>
              <w:rPr>
                <w:rFonts w:cstheme="minorHAnsi"/>
                <w:sz w:val="16"/>
                <w:szCs w:val="16"/>
              </w:rPr>
            </w:pPr>
          </w:p>
        </w:tc>
      </w:tr>
    </w:tbl>
    <w:p w14:paraId="505868EF" w14:textId="77777777" w:rsidR="00352A0F" w:rsidRPr="00FD5652" w:rsidRDefault="00352A0F" w:rsidP="00352A0F">
      <w:pPr>
        <w:contextualSpacing/>
        <w:jc w:val="both"/>
        <w:rPr>
          <w:rFonts w:cstheme="minorHAnsi"/>
          <w:sz w:val="16"/>
          <w:szCs w:val="16"/>
        </w:rPr>
      </w:pPr>
    </w:p>
    <w:p w14:paraId="1ADCCF62" w14:textId="5C926829" w:rsidR="009C1EA4" w:rsidRDefault="00FC2F3C" w:rsidP="00FD5652">
      <w:pPr>
        <w:contextualSpacing/>
        <w:jc w:val="both"/>
        <w:rPr>
          <w:rFonts w:cstheme="minorHAnsi"/>
          <w:sz w:val="22"/>
        </w:rPr>
      </w:pPr>
      <w:r>
        <w:rPr>
          <w:rFonts w:cstheme="minorHAnsi"/>
          <w:sz w:val="22"/>
        </w:rPr>
        <w:t>It was agreed to have an AGC symbol immediately before a SL-PRS resource in dedicated resource pool. The content within the AGC symbol is still for further desig</w:t>
      </w:r>
      <w:r w:rsidR="007A3D75">
        <w:rPr>
          <w:rFonts w:cstheme="minorHAnsi"/>
          <w:sz w:val="22"/>
        </w:rPr>
        <w:t>n.</w:t>
      </w:r>
    </w:p>
    <w:p w14:paraId="77B2CD53" w14:textId="217BE097" w:rsidR="007A3D75" w:rsidRDefault="007A3D75" w:rsidP="00FD5652">
      <w:pPr>
        <w:contextualSpacing/>
        <w:jc w:val="both"/>
        <w:rPr>
          <w:rFonts w:cstheme="minorHAnsi"/>
          <w:sz w:val="22"/>
        </w:rPr>
      </w:pPr>
    </w:p>
    <w:p w14:paraId="2863C903" w14:textId="0D330D77" w:rsidR="007A3D75" w:rsidRDefault="007A3D75" w:rsidP="00FD5652">
      <w:pPr>
        <w:contextualSpacing/>
        <w:jc w:val="both"/>
        <w:rPr>
          <w:rFonts w:cstheme="minorHAnsi"/>
          <w:sz w:val="22"/>
        </w:rPr>
      </w:pPr>
      <w:r>
        <w:rPr>
          <w:rFonts w:cstheme="minorHAnsi"/>
          <w:sz w:val="22"/>
        </w:rPr>
        <w:t xml:space="preserve">The legacy design of AGC symbol for other physical channels is to duplicate the first symbol of the physical channel. Basically </w:t>
      </w:r>
      <w:r w:rsidR="000427A5">
        <w:rPr>
          <w:rFonts w:cstheme="minorHAnsi"/>
          <w:sz w:val="22"/>
        </w:rPr>
        <w:t xml:space="preserve">the </w:t>
      </w:r>
      <w:r>
        <w:rPr>
          <w:rFonts w:cstheme="minorHAnsi"/>
          <w:sz w:val="22"/>
        </w:rPr>
        <w:t xml:space="preserve">AGC symbol for SL-PRS could be done in </w:t>
      </w:r>
      <w:r w:rsidR="000427A5">
        <w:rPr>
          <w:rFonts w:cstheme="minorHAnsi"/>
          <w:sz w:val="22"/>
        </w:rPr>
        <w:t xml:space="preserve">the </w:t>
      </w:r>
      <w:r>
        <w:rPr>
          <w:rFonts w:cstheme="minorHAnsi"/>
          <w:sz w:val="22"/>
        </w:rPr>
        <w:t xml:space="preserve">similar way. However, it doesn’t have any benefit by doing so. </w:t>
      </w:r>
    </w:p>
    <w:p w14:paraId="1DF76EF5" w14:textId="38687A7B" w:rsidR="005872FB" w:rsidRDefault="005872FB" w:rsidP="00FD5652">
      <w:pPr>
        <w:contextualSpacing/>
        <w:jc w:val="both"/>
        <w:rPr>
          <w:rFonts w:cstheme="minorHAnsi"/>
          <w:sz w:val="22"/>
        </w:rPr>
      </w:pPr>
    </w:p>
    <w:p w14:paraId="5F755F04" w14:textId="3D8AF506" w:rsidR="00DD2130" w:rsidRDefault="005872FB" w:rsidP="00FD5652">
      <w:pPr>
        <w:contextualSpacing/>
        <w:jc w:val="both"/>
        <w:rPr>
          <w:rFonts w:cstheme="minorHAnsi"/>
          <w:sz w:val="22"/>
        </w:rPr>
      </w:pPr>
      <w:r>
        <w:rPr>
          <w:rFonts w:cstheme="minorHAnsi"/>
          <w:sz w:val="22"/>
        </w:rPr>
        <w:t>The attached AGC symbol before a SL-PRS resource doesn't mean that the RX UE</w:t>
      </w:r>
      <w:r w:rsidR="006C0885">
        <w:rPr>
          <w:rFonts w:cstheme="minorHAnsi"/>
          <w:sz w:val="22"/>
        </w:rPr>
        <w:t xml:space="preserve"> will always use it. If a SL-PRS is transmitted periodically, it will be up to UE implementation whether to use AGC symbol for gain adjustment each time. </w:t>
      </w:r>
      <w:r w:rsidR="000B3EEA">
        <w:rPr>
          <w:rFonts w:cstheme="minorHAnsi"/>
          <w:sz w:val="22"/>
        </w:rPr>
        <w:t>Also, the slot of the dedicated resource pool only transmits PSCCH and SL-PRS. The</w:t>
      </w:r>
      <w:r w:rsidR="00DD2130">
        <w:rPr>
          <w:rFonts w:cstheme="minorHAnsi"/>
          <w:sz w:val="22"/>
        </w:rPr>
        <w:t xml:space="preserve"> gain measurement on the </w:t>
      </w:r>
      <w:r w:rsidR="000B3EEA">
        <w:rPr>
          <w:rFonts w:cstheme="minorHAnsi"/>
          <w:sz w:val="22"/>
        </w:rPr>
        <w:t>AGC symbol for PSCCH</w:t>
      </w:r>
      <w:r w:rsidR="00DD2130">
        <w:rPr>
          <w:rFonts w:cstheme="minorHAnsi"/>
          <w:sz w:val="22"/>
        </w:rPr>
        <w:t xml:space="preserve"> and that on the AGC symbol for SL-PRS could allow the RX UE to learn the potential power difference between two channels in first occasion and the corresponding gain </w:t>
      </w:r>
      <w:r w:rsidR="000427A5">
        <w:rPr>
          <w:rFonts w:cstheme="minorHAnsi"/>
          <w:sz w:val="22"/>
        </w:rPr>
        <w:t>adjustment</w:t>
      </w:r>
      <w:r w:rsidR="00DD2130">
        <w:rPr>
          <w:rFonts w:cstheme="minorHAnsi"/>
          <w:sz w:val="22"/>
        </w:rPr>
        <w:t xml:space="preserve"> could be applied in the following </w:t>
      </w:r>
      <w:r w:rsidR="00B712B2">
        <w:rPr>
          <w:rFonts w:cstheme="minorHAnsi"/>
          <w:sz w:val="22"/>
        </w:rPr>
        <w:t xml:space="preserve">occasions for </w:t>
      </w:r>
      <w:r w:rsidR="00DD2130">
        <w:rPr>
          <w:rFonts w:cstheme="minorHAnsi"/>
          <w:sz w:val="22"/>
        </w:rPr>
        <w:t xml:space="preserve">reception. </w:t>
      </w:r>
    </w:p>
    <w:p w14:paraId="2826598D" w14:textId="62464B44" w:rsidR="00DD2130" w:rsidRDefault="00DD2130" w:rsidP="00FD5652">
      <w:pPr>
        <w:contextualSpacing/>
        <w:jc w:val="both"/>
        <w:rPr>
          <w:rFonts w:cstheme="minorHAnsi"/>
          <w:sz w:val="22"/>
        </w:rPr>
      </w:pPr>
    </w:p>
    <w:p w14:paraId="3DC24FC3" w14:textId="606BF543" w:rsidR="00DD2130" w:rsidRDefault="00DD2130" w:rsidP="00FD5652">
      <w:pPr>
        <w:contextualSpacing/>
        <w:jc w:val="both"/>
        <w:rPr>
          <w:rFonts w:cstheme="minorHAnsi"/>
          <w:sz w:val="22"/>
        </w:rPr>
      </w:pPr>
      <w:r>
        <w:rPr>
          <w:rFonts w:cstheme="minorHAnsi"/>
          <w:sz w:val="22"/>
        </w:rPr>
        <w:t xml:space="preserve">Unless the AGC symbol is </w:t>
      </w:r>
      <w:r w:rsidR="00324B08">
        <w:rPr>
          <w:rFonts w:cstheme="minorHAnsi"/>
          <w:sz w:val="22"/>
        </w:rPr>
        <w:t xml:space="preserve">explicitly </w:t>
      </w:r>
      <w:r>
        <w:rPr>
          <w:rFonts w:cstheme="minorHAnsi"/>
          <w:sz w:val="22"/>
        </w:rPr>
        <w:t>not included</w:t>
      </w:r>
      <w:r w:rsidR="00324B08">
        <w:rPr>
          <w:rFonts w:cstheme="minorHAnsi"/>
          <w:sz w:val="22"/>
        </w:rPr>
        <w:t xml:space="preserve">, the AGC symbol could be considered by the RX UE for the purpose other than </w:t>
      </w:r>
      <w:r w:rsidR="00B96F2D">
        <w:rPr>
          <w:rFonts w:cstheme="minorHAnsi"/>
          <w:sz w:val="22"/>
        </w:rPr>
        <w:t xml:space="preserve">the </w:t>
      </w:r>
      <w:r w:rsidR="00324B08">
        <w:rPr>
          <w:rFonts w:cstheme="minorHAnsi"/>
          <w:sz w:val="22"/>
        </w:rPr>
        <w:t>gain adjustment.</w:t>
      </w:r>
    </w:p>
    <w:p w14:paraId="28ACFFB5" w14:textId="20F083AE" w:rsidR="00B96F2D" w:rsidRDefault="00B96F2D" w:rsidP="00FD5652">
      <w:pPr>
        <w:contextualSpacing/>
        <w:jc w:val="both"/>
        <w:rPr>
          <w:rFonts w:cstheme="minorHAnsi"/>
          <w:sz w:val="22"/>
        </w:rPr>
      </w:pPr>
    </w:p>
    <w:p w14:paraId="45F868C7" w14:textId="3978E245" w:rsidR="00B96F2D" w:rsidRDefault="00B96F2D" w:rsidP="00FD5652">
      <w:pPr>
        <w:contextualSpacing/>
        <w:jc w:val="both"/>
        <w:rPr>
          <w:rFonts w:cstheme="minorHAnsi"/>
          <w:sz w:val="22"/>
        </w:rPr>
      </w:pPr>
      <w:r>
        <w:rPr>
          <w:rFonts w:cstheme="minorHAnsi"/>
          <w:sz w:val="22"/>
        </w:rPr>
        <w:t xml:space="preserve">The AGC symbol within the dedicated resource pool could consider to transmit SL-PRS. The RE offset could be the same as that in the last symbol of the SL-PRS resource. </w:t>
      </w:r>
      <w:r w:rsidR="00D86DD5">
        <w:rPr>
          <w:rFonts w:cstheme="minorHAnsi"/>
          <w:sz w:val="22"/>
        </w:rPr>
        <w:t xml:space="preserve">The RS sequence could be generated based on the symbol index of this AGC symbol within the slot, which means the content doesn't need to duplicate that in the last symbol of SL-PRS. </w:t>
      </w:r>
    </w:p>
    <w:p w14:paraId="3A0643E1" w14:textId="77777777" w:rsidR="00B96F2D" w:rsidRDefault="00B96F2D" w:rsidP="00FD5652">
      <w:pPr>
        <w:contextualSpacing/>
        <w:jc w:val="both"/>
        <w:rPr>
          <w:rFonts w:cstheme="minorHAnsi"/>
          <w:sz w:val="22"/>
        </w:rPr>
      </w:pPr>
    </w:p>
    <w:p w14:paraId="4B77E149" w14:textId="510A8D47" w:rsidR="00B96F2D" w:rsidRDefault="00B96F2D" w:rsidP="00FD5652">
      <w:pPr>
        <w:contextualSpacing/>
        <w:jc w:val="both"/>
        <w:rPr>
          <w:rFonts w:cstheme="minorHAnsi"/>
          <w:sz w:val="22"/>
        </w:rPr>
      </w:pPr>
    </w:p>
    <w:p w14:paraId="1CDABBE1" w14:textId="20B027B8" w:rsidR="00B96F2D" w:rsidRPr="0051419A" w:rsidRDefault="00B96F2D" w:rsidP="00FD5652">
      <w:pPr>
        <w:contextualSpacing/>
        <w:jc w:val="both"/>
        <w:rPr>
          <w:rFonts w:cstheme="minorHAnsi"/>
          <w:sz w:val="20"/>
          <w:szCs w:val="20"/>
        </w:rPr>
      </w:pPr>
      <w:bookmarkStart w:id="10" w:name="_Hlk142690470"/>
      <w:r w:rsidRPr="0051419A">
        <w:rPr>
          <w:rFonts w:cstheme="minorHAnsi"/>
          <w:b/>
          <w:bCs/>
          <w:sz w:val="20"/>
          <w:szCs w:val="20"/>
        </w:rPr>
        <w:t>Proposal 2-1</w:t>
      </w:r>
      <w:r w:rsidRPr="0051419A">
        <w:rPr>
          <w:rFonts w:cstheme="minorHAnsi"/>
          <w:sz w:val="20"/>
          <w:szCs w:val="20"/>
        </w:rPr>
        <w:t>: The AGC symbol within the dedicated resource pool transmits SL-PRS</w:t>
      </w:r>
    </w:p>
    <w:p w14:paraId="143C340A" w14:textId="34F155B0" w:rsidR="009C1EA4" w:rsidRPr="0051419A" w:rsidRDefault="009C1EA4" w:rsidP="00FD5652">
      <w:pPr>
        <w:contextualSpacing/>
        <w:jc w:val="both"/>
        <w:rPr>
          <w:rFonts w:cstheme="minorHAnsi"/>
          <w:sz w:val="20"/>
          <w:szCs w:val="20"/>
        </w:rPr>
      </w:pPr>
    </w:p>
    <w:p w14:paraId="29710E0A" w14:textId="2646555D" w:rsidR="00324B08" w:rsidRPr="0051419A" w:rsidRDefault="00D86DD5" w:rsidP="00FD5652">
      <w:pPr>
        <w:contextualSpacing/>
        <w:jc w:val="both"/>
        <w:rPr>
          <w:rFonts w:cstheme="minorHAnsi"/>
          <w:sz w:val="20"/>
          <w:szCs w:val="20"/>
        </w:rPr>
      </w:pPr>
      <w:r w:rsidRPr="0051419A">
        <w:rPr>
          <w:rFonts w:cstheme="minorHAnsi"/>
          <w:b/>
          <w:bCs/>
          <w:sz w:val="20"/>
          <w:szCs w:val="20"/>
        </w:rPr>
        <w:t>Proposal 2-2</w:t>
      </w:r>
      <w:r w:rsidRPr="0051419A">
        <w:rPr>
          <w:rFonts w:cstheme="minorHAnsi"/>
          <w:sz w:val="20"/>
          <w:szCs w:val="20"/>
        </w:rPr>
        <w:t>: The RE offset in the AGC symbol could be the same as that in the last symbol of the SL-PRS resource</w:t>
      </w:r>
    </w:p>
    <w:p w14:paraId="73458635" w14:textId="4D3A8CA6" w:rsidR="00D86DD5" w:rsidRPr="0051419A" w:rsidRDefault="00D86DD5" w:rsidP="00FD5652">
      <w:pPr>
        <w:contextualSpacing/>
        <w:jc w:val="both"/>
        <w:rPr>
          <w:rFonts w:cstheme="minorHAnsi"/>
          <w:sz w:val="20"/>
          <w:szCs w:val="20"/>
        </w:rPr>
      </w:pPr>
    </w:p>
    <w:p w14:paraId="5A329DA3" w14:textId="5832CE20" w:rsidR="00D86DD5" w:rsidRPr="0051419A" w:rsidRDefault="00D86DD5" w:rsidP="00FD5652">
      <w:pPr>
        <w:contextualSpacing/>
        <w:jc w:val="both"/>
        <w:rPr>
          <w:rFonts w:cstheme="minorHAnsi"/>
          <w:sz w:val="20"/>
          <w:szCs w:val="20"/>
        </w:rPr>
      </w:pPr>
      <w:r w:rsidRPr="0051419A">
        <w:rPr>
          <w:rFonts w:cstheme="minorHAnsi"/>
          <w:b/>
          <w:bCs/>
          <w:sz w:val="20"/>
          <w:szCs w:val="20"/>
        </w:rPr>
        <w:t>Proposal 2-3</w:t>
      </w:r>
      <w:r w:rsidRPr="0051419A">
        <w:rPr>
          <w:rFonts w:cstheme="minorHAnsi"/>
          <w:sz w:val="20"/>
          <w:szCs w:val="20"/>
        </w:rPr>
        <w:t>: The RS sequence could be generated based on the symbol index of the AGC symbol within the slot, which means the content doesn't need to duplicate that in the last symbol of SL-PRS</w:t>
      </w:r>
    </w:p>
    <w:bookmarkEnd w:id="10"/>
    <w:p w14:paraId="031E2CB6" w14:textId="77777777" w:rsidR="00324B08" w:rsidRDefault="00324B08" w:rsidP="00FD5652">
      <w:pPr>
        <w:contextualSpacing/>
        <w:jc w:val="both"/>
        <w:rPr>
          <w:rFonts w:cstheme="minorHAnsi"/>
          <w:sz w:val="22"/>
        </w:rPr>
      </w:pPr>
    </w:p>
    <w:p w14:paraId="3028F42B" w14:textId="77777777" w:rsidR="009C1EA4" w:rsidRDefault="009C1EA4" w:rsidP="00FD5652">
      <w:pPr>
        <w:contextualSpacing/>
        <w:jc w:val="both"/>
        <w:rPr>
          <w:rFonts w:cstheme="minorHAnsi"/>
          <w:sz w:val="22"/>
        </w:rPr>
      </w:pPr>
    </w:p>
    <w:p w14:paraId="7ABC8A50" w14:textId="02609DE7" w:rsidR="009904FB" w:rsidRDefault="009904FB" w:rsidP="00C57BBB">
      <w:pPr>
        <w:jc w:val="both"/>
        <w:rPr>
          <w:sz w:val="22"/>
        </w:rPr>
      </w:pPr>
    </w:p>
    <w:p w14:paraId="1860DECC" w14:textId="0DE97F05" w:rsidR="00B33F08" w:rsidRDefault="00045465" w:rsidP="00B33F0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Sequence ID generation</w:t>
      </w:r>
    </w:p>
    <w:tbl>
      <w:tblPr>
        <w:tblStyle w:val="TableGrid"/>
        <w:tblW w:w="0" w:type="auto"/>
        <w:tblLook w:val="04A0" w:firstRow="1" w:lastRow="0" w:firstColumn="1" w:lastColumn="0" w:noHBand="0" w:noVBand="1"/>
      </w:tblPr>
      <w:tblGrid>
        <w:gridCol w:w="9629"/>
      </w:tblGrid>
      <w:tr w:rsidR="00045465" w14:paraId="678A2BBE" w14:textId="77777777" w:rsidTr="00045465">
        <w:tc>
          <w:tcPr>
            <w:tcW w:w="9629" w:type="dxa"/>
          </w:tcPr>
          <w:p w14:paraId="394DF65E" w14:textId="77777777" w:rsidR="00045465" w:rsidRPr="00045465" w:rsidRDefault="00045465" w:rsidP="00045465">
            <w:pPr>
              <w:widowControl/>
              <w:rPr>
                <w:rFonts w:ascii="Times" w:eastAsia="Batang" w:hAnsi="Times" w:cs="Times New Roman"/>
                <w:iCs/>
                <w:kern w:val="0"/>
                <w:sz w:val="16"/>
                <w:szCs w:val="16"/>
                <w:lang w:val="en-GB" w:eastAsia="en-US"/>
              </w:rPr>
            </w:pPr>
            <w:r w:rsidRPr="00045465">
              <w:rPr>
                <w:rFonts w:ascii="Times" w:eastAsia="Batang" w:hAnsi="Times" w:cs="Times New Roman"/>
                <w:iCs/>
                <w:kern w:val="0"/>
                <w:sz w:val="16"/>
                <w:szCs w:val="16"/>
                <w:highlight w:val="darkYellow"/>
                <w:lang w:val="en-GB" w:eastAsia="en-US"/>
              </w:rPr>
              <w:t>Working assumption</w:t>
            </w:r>
          </w:p>
          <w:p w14:paraId="7EF146B7" w14:textId="26D67275" w:rsidR="00045465" w:rsidRPr="00045465" w:rsidRDefault="00045465" w:rsidP="00045465">
            <w:pPr>
              <w:widowControl/>
              <w:numPr>
                <w:ilvl w:val="0"/>
                <w:numId w:val="7"/>
              </w:numPr>
              <w:rPr>
                <w:rFonts w:ascii="Times" w:eastAsia="Batang" w:hAnsi="Times" w:cs="Times New Roman"/>
                <w:iCs/>
                <w:kern w:val="0"/>
                <w:sz w:val="16"/>
                <w:szCs w:val="16"/>
                <w:lang w:val="en-GB" w:eastAsia="en-US"/>
              </w:rPr>
            </w:pPr>
            <w:r w:rsidRPr="00045465">
              <w:rPr>
                <w:rFonts w:ascii="Times New Roman" w:eastAsia="Batang" w:hAnsi="Times New Roman" w:cs="Times New Roman"/>
                <w:iCs/>
                <w:kern w:val="0"/>
                <w:sz w:val="16"/>
                <w:szCs w:val="16"/>
                <w:lang w:val="en-GB" w:eastAsia="zh-CN"/>
              </w:rPr>
              <w:t>For SL PRS sequence generation, the</w:t>
            </w:r>
            <w:r w:rsidRPr="00045465">
              <w:rPr>
                <w:rFonts w:ascii="Times New Roman" w:eastAsia="Batang" w:hAnsi="Times New Roman" w:cs="Times New Roman"/>
                <w:bCs/>
                <w:iCs/>
                <w:kern w:val="0"/>
                <w:sz w:val="16"/>
                <w:szCs w:val="16"/>
                <w:lang w:val="en-GB" w:eastAsia="zh-CN"/>
              </w:rPr>
              <w:t xml:space="preserve"> parameter </w:t>
            </w:r>
            <w:r w:rsidRPr="00045465">
              <w:rPr>
                <w:rFonts w:ascii="Times New Roman" w:eastAsia="Batang" w:hAnsi="Times New Roman" w:cs="Times New Roman"/>
                <w:bCs/>
                <w:iCs/>
                <w:kern w:val="0"/>
                <w:sz w:val="16"/>
                <w:szCs w:val="16"/>
                <w:lang w:val="en-GB" w:eastAsia="zh-CN"/>
              </w:rPr>
              <w:fldChar w:fldCharType="begin"/>
            </w:r>
            <w:r w:rsidRPr="00045465">
              <w:rPr>
                <w:rFonts w:ascii="Times New Roman" w:eastAsia="Batang" w:hAnsi="Times New Roman" w:cs="Times New Roman"/>
                <w:bCs/>
                <w:iCs/>
                <w:kern w:val="0"/>
                <w:sz w:val="16"/>
                <w:szCs w:val="16"/>
                <w:lang w:val="en-GB" w:eastAsia="zh-CN"/>
              </w:rPr>
              <w:instrText xml:space="preserve"> QUOTE </w:instrText>
            </w:r>
            <w:r w:rsidRPr="00045465">
              <w:rPr>
                <w:rFonts w:ascii="Times" w:eastAsia="Batang" w:hAnsi="Times" w:cs="Times New Roman"/>
                <w:noProof/>
                <w:kern w:val="0"/>
                <w:position w:val="-8"/>
                <w:sz w:val="16"/>
                <w:szCs w:val="16"/>
                <w:lang w:val="en-GB" w:eastAsia="en-US"/>
              </w:rPr>
              <w:drawing>
                <wp:inline distT="0" distB="0" distL="0" distR="0" wp14:anchorId="3ABCF9BB" wp14:editId="3BA7939B">
                  <wp:extent cx="3492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New Roman" w:eastAsia="Batang" w:hAnsi="Times New Roman" w:cs="Times New Roman"/>
                <w:bCs/>
                <w:iCs/>
                <w:kern w:val="0"/>
                <w:sz w:val="16"/>
                <w:szCs w:val="16"/>
                <w:lang w:val="en-GB" w:eastAsia="zh-CN"/>
              </w:rPr>
              <w:instrText xml:space="preserve"> </w:instrText>
            </w:r>
            <w:r w:rsidRPr="00045465">
              <w:rPr>
                <w:rFonts w:ascii="Times New Roman" w:eastAsia="Batang" w:hAnsi="Times New Roman" w:cs="Times New Roman"/>
                <w:bCs/>
                <w:iCs/>
                <w:kern w:val="0"/>
                <w:sz w:val="16"/>
                <w:szCs w:val="16"/>
                <w:lang w:val="en-GB" w:eastAsia="zh-CN"/>
              </w:rPr>
              <w:fldChar w:fldCharType="separate"/>
            </w:r>
            <w:r w:rsidRPr="00045465">
              <w:rPr>
                <w:rFonts w:ascii="Times" w:eastAsia="Batang" w:hAnsi="Times" w:cs="Times New Roman"/>
                <w:noProof/>
                <w:kern w:val="0"/>
                <w:position w:val="-8"/>
                <w:sz w:val="16"/>
                <w:szCs w:val="16"/>
                <w:lang w:val="en-GB" w:eastAsia="en-US"/>
              </w:rPr>
              <w:drawing>
                <wp:inline distT="0" distB="0" distL="0" distR="0" wp14:anchorId="7EC54F60" wp14:editId="50E5D7E3">
                  <wp:extent cx="34925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New Roman" w:eastAsia="Batang" w:hAnsi="Times New Roman" w:cs="Times New Roman"/>
                <w:bCs/>
                <w:iCs/>
                <w:kern w:val="0"/>
                <w:sz w:val="16"/>
                <w:szCs w:val="16"/>
                <w:lang w:val="en-GB" w:eastAsia="zh-CN"/>
              </w:rPr>
              <w:fldChar w:fldCharType="end"/>
            </w:r>
            <w:r w:rsidRPr="00045465">
              <w:rPr>
                <w:rFonts w:ascii="Times New Roman" w:eastAsia="Batang" w:hAnsi="Times New Roman" w:cs="Times New Roman"/>
                <w:bCs/>
                <w:iCs/>
                <w:kern w:val="0"/>
                <w:sz w:val="16"/>
                <w:szCs w:val="16"/>
                <w:lang w:val="en-GB" w:eastAsia="zh-CN"/>
              </w:rPr>
              <w:t xml:space="preserve"> is defined as below</w:t>
            </w:r>
            <w:r w:rsidRPr="00045465">
              <w:rPr>
                <w:rFonts w:ascii="Times New Roman" w:eastAsia="Batang" w:hAnsi="Times New Roman" w:cs="Times New Roman"/>
                <w:iCs/>
                <w:kern w:val="0"/>
                <w:sz w:val="16"/>
                <w:szCs w:val="16"/>
                <w:lang w:val="en-GB" w:eastAsia="zh-CN"/>
              </w:rPr>
              <w:fldChar w:fldCharType="begin"/>
            </w:r>
            <w:r w:rsidRPr="00045465">
              <w:rPr>
                <w:rFonts w:ascii="Times New Roman" w:eastAsia="Batang" w:hAnsi="Times New Roman" w:cs="Times New Roman"/>
                <w:iCs/>
                <w:kern w:val="0"/>
                <w:sz w:val="16"/>
                <w:szCs w:val="16"/>
                <w:lang w:val="en-GB" w:eastAsia="zh-CN"/>
              </w:rPr>
              <w:instrText xml:space="preserve"> QUOTE </w:instrText>
            </w:r>
            <w:r w:rsidRPr="00045465">
              <w:rPr>
                <w:rFonts w:ascii="Cambria Math" w:eastAsia="Times New Roman" w:hAnsi="Cambria Math" w:cs="Times New Roman"/>
                <w:iCs/>
                <w:color w:val="00B0F0"/>
                <w:kern w:val="0"/>
                <w:sz w:val="16"/>
                <w:szCs w:val="16"/>
                <w:lang w:val="en-GB" w:eastAsia="en-US"/>
              </w:rPr>
              <w:instrText>nID,seqSL-PRS</w:instrText>
            </w:r>
            <w:r w:rsidRPr="00045465">
              <w:rPr>
                <w:rFonts w:ascii="Times New Roman" w:eastAsia="Batang" w:hAnsi="Times New Roman" w:cs="Times New Roman"/>
                <w:iCs/>
                <w:kern w:val="0"/>
                <w:sz w:val="16"/>
                <w:szCs w:val="16"/>
                <w:lang w:val="en-GB" w:eastAsia="zh-CN"/>
              </w:rPr>
              <w:instrText xml:space="preserve"> </w:instrText>
            </w:r>
            <w:r w:rsidRPr="00045465">
              <w:rPr>
                <w:rFonts w:ascii="Times New Roman" w:eastAsia="Batang" w:hAnsi="Times New Roman" w:cs="Times New Roman"/>
                <w:iCs/>
                <w:kern w:val="0"/>
                <w:sz w:val="16"/>
                <w:szCs w:val="16"/>
                <w:lang w:val="en-GB" w:eastAsia="zh-CN"/>
              </w:rPr>
              <w:fldChar w:fldCharType="end"/>
            </w:r>
            <w:r w:rsidRPr="00045465">
              <w:rPr>
                <w:rFonts w:ascii="Times New Roman" w:eastAsia="Batang" w:hAnsi="Times New Roman" w:cs="Times New Roman"/>
                <w:iCs/>
                <w:kern w:val="0"/>
                <w:sz w:val="16"/>
                <w:szCs w:val="16"/>
                <w:lang w:val="en-GB" w:eastAsia="zh-CN"/>
              </w:rPr>
              <w:t>:</w:t>
            </w:r>
          </w:p>
          <w:p w14:paraId="0932E121" w14:textId="671C84A4" w:rsidR="00045465" w:rsidRPr="00045465" w:rsidRDefault="00045465" w:rsidP="00045465">
            <w:pPr>
              <w:widowControl/>
              <w:numPr>
                <w:ilvl w:val="1"/>
                <w:numId w:val="7"/>
              </w:numPr>
              <w:contextualSpacing/>
              <w:rPr>
                <w:rFonts w:ascii="Times" w:eastAsia="Batang" w:hAnsi="Times" w:cs="Times New Roman"/>
                <w:iCs/>
                <w:kern w:val="0"/>
                <w:sz w:val="16"/>
                <w:szCs w:val="16"/>
                <w:lang w:val="en-GB" w:eastAsia="en-US"/>
              </w:rPr>
            </w:pPr>
            <w:r w:rsidRPr="00045465">
              <w:rPr>
                <w:rFonts w:ascii="Times" w:eastAsia="Batang" w:hAnsi="Times" w:cs="Times New Roman"/>
                <w:iCs/>
                <w:kern w:val="0"/>
                <w:position w:val="-9"/>
                <w:sz w:val="16"/>
                <w:szCs w:val="16"/>
                <w:lang w:val="en-GB" w:eastAsia="en-US"/>
              </w:rPr>
              <w:fldChar w:fldCharType="begin"/>
            </w:r>
            <w:r w:rsidRPr="00045465">
              <w:rPr>
                <w:rFonts w:ascii="Times" w:eastAsia="Batang" w:hAnsi="Times" w:cs="Times New Roman"/>
                <w:iCs/>
                <w:kern w:val="0"/>
                <w:position w:val="-9"/>
                <w:sz w:val="16"/>
                <w:szCs w:val="16"/>
                <w:lang w:val="en-GB" w:eastAsia="en-US"/>
              </w:rPr>
              <w:instrText xml:space="preserve"> QUOTE </w:instrText>
            </w:r>
            <w:r w:rsidRPr="00045465">
              <w:rPr>
                <w:rFonts w:ascii="Times" w:eastAsia="Batang" w:hAnsi="Times" w:cs="Times New Roman"/>
                <w:noProof/>
                <w:kern w:val="0"/>
                <w:position w:val="-8"/>
                <w:sz w:val="16"/>
                <w:szCs w:val="16"/>
                <w:lang w:val="en-GB" w:eastAsia="en-US"/>
              </w:rPr>
              <w:drawing>
                <wp:inline distT="0" distB="0" distL="0" distR="0" wp14:anchorId="72830AE9" wp14:editId="27118B5F">
                  <wp:extent cx="3492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w:eastAsia="Batang" w:hAnsi="Times" w:cs="Times New Roman"/>
                <w:iCs/>
                <w:kern w:val="0"/>
                <w:position w:val="-9"/>
                <w:sz w:val="16"/>
                <w:szCs w:val="16"/>
                <w:lang w:val="en-GB" w:eastAsia="en-US"/>
              </w:rPr>
              <w:instrText xml:space="preserve"> </w:instrText>
            </w:r>
            <w:r w:rsidRPr="00045465">
              <w:rPr>
                <w:rFonts w:ascii="Times" w:eastAsia="Batang" w:hAnsi="Times" w:cs="Times New Roman"/>
                <w:iCs/>
                <w:kern w:val="0"/>
                <w:position w:val="-9"/>
                <w:sz w:val="16"/>
                <w:szCs w:val="16"/>
                <w:lang w:val="en-GB" w:eastAsia="en-US"/>
              </w:rPr>
              <w:fldChar w:fldCharType="separate"/>
            </w:r>
            <w:r w:rsidRPr="00045465">
              <w:rPr>
                <w:rFonts w:ascii="Times" w:eastAsia="Batang" w:hAnsi="Times" w:cs="Times New Roman"/>
                <w:noProof/>
                <w:kern w:val="0"/>
                <w:position w:val="-8"/>
                <w:sz w:val="16"/>
                <w:szCs w:val="16"/>
                <w:lang w:val="en-GB" w:eastAsia="en-US"/>
              </w:rPr>
              <w:drawing>
                <wp:inline distT="0" distB="0" distL="0" distR="0" wp14:anchorId="2846825C" wp14:editId="518EE108">
                  <wp:extent cx="349250" cy="171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w:eastAsia="Batang" w:hAnsi="Times" w:cs="Times New Roman"/>
                <w:iCs/>
                <w:kern w:val="0"/>
                <w:position w:val="-9"/>
                <w:sz w:val="16"/>
                <w:szCs w:val="16"/>
                <w:lang w:val="en-GB" w:eastAsia="en-US"/>
              </w:rPr>
              <w:fldChar w:fldCharType="end"/>
            </w:r>
            <w:r w:rsidRPr="00045465">
              <w:rPr>
                <w:rFonts w:ascii="Times" w:eastAsia="Batang" w:hAnsi="Times" w:cs="Times New Roman"/>
                <w:iCs/>
                <w:kern w:val="0"/>
                <w:position w:val="-9"/>
                <w:sz w:val="16"/>
                <w:szCs w:val="16"/>
                <w:lang w:val="en-GB" w:eastAsia="en-US"/>
              </w:rPr>
              <w:t xml:space="preserve"> </w:t>
            </w:r>
            <w:r w:rsidRPr="00045465">
              <w:rPr>
                <w:rFonts w:ascii="Times New Roman" w:eastAsia="Times New Roman" w:hAnsi="Times New Roman" w:cs="Times New Roman"/>
                <w:iCs/>
                <w:kern w:val="0"/>
                <w:sz w:val="16"/>
                <w:szCs w:val="16"/>
                <w:lang w:val="en-GB" w:eastAsia="en-US"/>
              </w:rPr>
              <w:t xml:space="preserve">is </w:t>
            </w:r>
            <w:r w:rsidRPr="00045465">
              <w:rPr>
                <w:rFonts w:ascii="Times New Roman" w:eastAsia="Times New Roman" w:hAnsi="Times New Roman" w:cs="Times New Roman"/>
                <w:bCs/>
                <w:iCs/>
                <w:kern w:val="0"/>
                <w:sz w:val="16"/>
                <w:szCs w:val="16"/>
                <w:lang w:val="en-GB" w:eastAsia="en-US"/>
              </w:rPr>
              <w:t xml:space="preserve">provided by higher layers to a Tx UE </w:t>
            </w:r>
          </w:p>
          <w:p w14:paraId="7FF37232" w14:textId="77777777" w:rsidR="00045465" w:rsidRPr="00045465" w:rsidRDefault="00045465" w:rsidP="00045465">
            <w:pPr>
              <w:widowControl/>
              <w:numPr>
                <w:ilvl w:val="2"/>
                <w:numId w:val="7"/>
              </w:numPr>
              <w:contextualSpacing/>
              <w:rPr>
                <w:rFonts w:ascii="Times" w:eastAsia="Batang" w:hAnsi="Times" w:cs="Times New Roman"/>
                <w:iCs/>
                <w:kern w:val="0"/>
                <w:sz w:val="16"/>
                <w:szCs w:val="16"/>
                <w:lang w:val="en-GB" w:eastAsia="en-US"/>
              </w:rPr>
            </w:pPr>
            <w:r w:rsidRPr="00045465">
              <w:rPr>
                <w:rFonts w:ascii="Times New Roman" w:eastAsia="Times New Roman" w:hAnsi="Times New Roman" w:cs="Times New Roman"/>
                <w:bCs/>
                <w:iCs/>
                <w:kern w:val="0"/>
                <w:sz w:val="16"/>
                <w:szCs w:val="16"/>
                <w:lang w:val="en-GB" w:eastAsia="en-US"/>
              </w:rPr>
              <w:t>Details on higher layers, including consideration of Tx UE’s own higher layer, are up to RAN2</w:t>
            </w:r>
          </w:p>
          <w:p w14:paraId="3970E5BF" w14:textId="77777777" w:rsidR="00045465" w:rsidRPr="00045465" w:rsidRDefault="00045465" w:rsidP="00045465">
            <w:pPr>
              <w:widowControl/>
              <w:numPr>
                <w:ilvl w:val="2"/>
                <w:numId w:val="7"/>
              </w:numPr>
              <w:rPr>
                <w:rFonts w:ascii="Times" w:eastAsia="Batang" w:hAnsi="Times" w:cs="Times New Roman"/>
                <w:iCs/>
                <w:kern w:val="0"/>
                <w:sz w:val="16"/>
                <w:szCs w:val="16"/>
                <w:lang w:val="en-GB" w:eastAsia="en-US"/>
              </w:rPr>
            </w:pPr>
            <w:r w:rsidRPr="00045465">
              <w:rPr>
                <w:rFonts w:ascii="Times" w:eastAsia="Batang" w:hAnsi="Times" w:cs="Times New Roman"/>
                <w:iCs/>
                <w:kern w:val="0"/>
                <w:sz w:val="16"/>
                <w:szCs w:val="16"/>
                <w:lang w:val="en-GB" w:eastAsia="en-US"/>
              </w:rPr>
              <w:t>The higher layer parameter is provided to an Rx UE via LPP/SLPP.</w:t>
            </w:r>
          </w:p>
          <w:p w14:paraId="3B2A9459" w14:textId="29FD0FF6" w:rsidR="00045465" w:rsidRPr="00045465" w:rsidRDefault="00045465" w:rsidP="00045465">
            <w:pPr>
              <w:widowControl/>
              <w:numPr>
                <w:ilvl w:val="2"/>
                <w:numId w:val="7"/>
              </w:numPr>
              <w:contextualSpacing/>
              <w:rPr>
                <w:rFonts w:ascii="Times" w:eastAsia="Batang" w:hAnsi="Times" w:cs="Times New Roman"/>
                <w:iCs/>
                <w:kern w:val="0"/>
                <w:sz w:val="16"/>
                <w:szCs w:val="16"/>
                <w:lang w:val="en-GB" w:eastAsia="en-US"/>
              </w:rPr>
            </w:pPr>
            <w:r w:rsidRPr="00045465">
              <w:rPr>
                <w:rFonts w:ascii="Times" w:eastAsia="Batang" w:hAnsi="Times" w:cs="Times New Roman"/>
                <w:iCs/>
                <w:kern w:val="0"/>
                <w:sz w:val="16"/>
                <w:szCs w:val="16"/>
                <w:lang w:val="en-GB" w:eastAsia="en-US"/>
              </w:rPr>
              <w:t xml:space="preserve">FFS: If (pre-)configured for a resource pool and use of SL PRS for sensing is supported, </w:t>
            </w:r>
            <w:r w:rsidRPr="00045465">
              <w:rPr>
                <w:rFonts w:ascii="Times" w:eastAsia="Batang" w:hAnsi="Times" w:cs="Times New Roman"/>
                <w:iCs/>
                <w:kern w:val="0"/>
                <w:position w:val="-9"/>
                <w:sz w:val="16"/>
                <w:szCs w:val="16"/>
                <w:lang w:val="en-GB" w:eastAsia="en-US"/>
              </w:rPr>
              <w:fldChar w:fldCharType="begin"/>
            </w:r>
            <w:r w:rsidRPr="00045465">
              <w:rPr>
                <w:rFonts w:ascii="Times" w:eastAsia="Batang" w:hAnsi="Times" w:cs="Times New Roman"/>
                <w:iCs/>
                <w:kern w:val="0"/>
                <w:position w:val="-9"/>
                <w:sz w:val="16"/>
                <w:szCs w:val="16"/>
                <w:lang w:val="en-GB" w:eastAsia="en-US"/>
              </w:rPr>
              <w:instrText xml:space="preserve"> QUOTE </w:instrText>
            </w:r>
            <w:r w:rsidRPr="00045465">
              <w:rPr>
                <w:rFonts w:ascii="Times" w:eastAsia="Batang" w:hAnsi="Times" w:cs="Times New Roman"/>
                <w:noProof/>
                <w:kern w:val="0"/>
                <w:position w:val="-8"/>
                <w:sz w:val="16"/>
                <w:szCs w:val="16"/>
                <w:lang w:val="en-GB" w:eastAsia="en-US"/>
              </w:rPr>
              <w:drawing>
                <wp:inline distT="0" distB="0" distL="0" distR="0" wp14:anchorId="3403C4AF" wp14:editId="0C4ABB38">
                  <wp:extent cx="3492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w:eastAsia="Batang" w:hAnsi="Times" w:cs="Times New Roman"/>
                <w:iCs/>
                <w:kern w:val="0"/>
                <w:position w:val="-9"/>
                <w:sz w:val="16"/>
                <w:szCs w:val="16"/>
                <w:lang w:val="en-GB" w:eastAsia="en-US"/>
              </w:rPr>
              <w:instrText xml:space="preserve"> </w:instrText>
            </w:r>
            <w:r w:rsidRPr="00045465">
              <w:rPr>
                <w:rFonts w:ascii="Times" w:eastAsia="Batang" w:hAnsi="Times" w:cs="Times New Roman"/>
                <w:iCs/>
                <w:kern w:val="0"/>
                <w:position w:val="-9"/>
                <w:sz w:val="16"/>
                <w:szCs w:val="16"/>
                <w:lang w:val="en-GB" w:eastAsia="en-US"/>
              </w:rPr>
              <w:fldChar w:fldCharType="separate"/>
            </w:r>
            <w:r w:rsidRPr="00045465">
              <w:rPr>
                <w:rFonts w:ascii="Times" w:eastAsia="Batang" w:hAnsi="Times" w:cs="Times New Roman"/>
                <w:noProof/>
                <w:kern w:val="0"/>
                <w:position w:val="-8"/>
                <w:sz w:val="16"/>
                <w:szCs w:val="16"/>
                <w:lang w:val="en-GB" w:eastAsia="en-US"/>
              </w:rPr>
              <w:drawing>
                <wp:inline distT="0" distB="0" distL="0" distR="0" wp14:anchorId="0F9D4F6F" wp14:editId="36C5B296">
                  <wp:extent cx="34925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w:eastAsia="Batang" w:hAnsi="Times" w:cs="Times New Roman"/>
                <w:iCs/>
                <w:kern w:val="0"/>
                <w:position w:val="-9"/>
                <w:sz w:val="16"/>
                <w:szCs w:val="16"/>
                <w:lang w:val="en-GB" w:eastAsia="en-US"/>
              </w:rPr>
              <w:fldChar w:fldCharType="end"/>
            </w:r>
            <w:r w:rsidRPr="00045465">
              <w:rPr>
                <w:rFonts w:ascii="Times" w:eastAsia="Batang" w:hAnsi="Times" w:cs="Times New Roman"/>
                <w:iCs/>
                <w:kern w:val="0"/>
                <w:position w:val="-9"/>
                <w:sz w:val="16"/>
                <w:szCs w:val="16"/>
                <w:lang w:val="en-GB" w:eastAsia="en-US"/>
              </w:rPr>
              <w:t xml:space="preserve"> </w:t>
            </w:r>
            <w:r w:rsidRPr="00045465">
              <w:rPr>
                <w:rFonts w:ascii="Times New Roman" w:eastAsia="Times New Roman" w:hAnsi="Times New Roman" w:cs="Times New Roman"/>
                <w:iCs/>
                <w:kern w:val="0"/>
                <w:sz w:val="16"/>
                <w:szCs w:val="16"/>
                <w:lang w:val="en-GB" w:eastAsia="en-US"/>
              </w:rPr>
              <w:t>is based on 12 LSB bits CRC of PSCCH associated with the SL</w:t>
            </w:r>
            <w:r w:rsidRPr="00045465">
              <w:rPr>
                <w:rFonts w:ascii="Times" w:eastAsia="Batang" w:hAnsi="Times" w:cs="Times New Roman"/>
                <w:iCs/>
                <w:kern w:val="0"/>
                <w:sz w:val="16"/>
                <w:szCs w:val="16"/>
                <w:lang w:val="en-GB" w:eastAsia="en-US"/>
              </w:rPr>
              <w:t xml:space="preserve"> PRS</w:t>
            </w:r>
          </w:p>
          <w:p w14:paraId="6B89EA81" w14:textId="7B82A21D" w:rsidR="00045465" w:rsidRPr="00045465" w:rsidRDefault="00045465" w:rsidP="00045465">
            <w:pPr>
              <w:widowControl/>
              <w:numPr>
                <w:ilvl w:val="1"/>
                <w:numId w:val="7"/>
              </w:numPr>
              <w:rPr>
                <w:rFonts w:ascii="Times" w:eastAsia="Batang" w:hAnsi="Times" w:cs="Times New Roman"/>
                <w:iCs/>
                <w:kern w:val="0"/>
                <w:sz w:val="16"/>
                <w:szCs w:val="16"/>
                <w:lang w:val="en-GB" w:eastAsia="en-US"/>
              </w:rPr>
            </w:pPr>
            <w:r w:rsidRPr="00045465">
              <w:rPr>
                <w:rFonts w:ascii="Times" w:eastAsia="Batang" w:hAnsi="Times" w:cs="Times New Roman"/>
                <w:iCs/>
                <w:kern w:val="0"/>
                <w:sz w:val="16"/>
                <w:szCs w:val="16"/>
                <w:lang w:val="en-GB" w:eastAsia="en-US"/>
              </w:rPr>
              <w:t xml:space="preserve">Otherwise (i.e., if not provided by higher layers), </w:t>
            </w:r>
            <w:r w:rsidRPr="00045465">
              <w:rPr>
                <w:rFonts w:ascii="Times" w:eastAsia="Batang" w:hAnsi="Times" w:cs="Times New Roman"/>
                <w:iCs/>
                <w:kern w:val="0"/>
                <w:position w:val="-9"/>
                <w:sz w:val="16"/>
                <w:szCs w:val="16"/>
                <w:lang w:val="en-GB" w:eastAsia="en-US"/>
              </w:rPr>
              <w:fldChar w:fldCharType="begin"/>
            </w:r>
            <w:r w:rsidRPr="00045465">
              <w:rPr>
                <w:rFonts w:ascii="Times" w:eastAsia="Batang" w:hAnsi="Times" w:cs="Times New Roman"/>
                <w:iCs/>
                <w:kern w:val="0"/>
                <w:position w:val="-9"/>
                <w:sz w:val="16"/>
                <w:szCs w:val="16"/>
                <w:lang w:val="en-GB" w:eastAsia="en-US"/>
              </w:rPr>
              <w:instrText xml:space="preserve"> QUOTE </w:instrText>
            </w:r>
            <w:r w:rsidRPr="00045465">
              <w:rPr>
                <w:rFonts w:ascii="Times" w:eastAsia="Batang" w:hAnsi="Times" w:cs="Times New Roman"/>
                <w:noProof/>
                <w:kern w:val="0"/>
                <w:position w:val="-8"/>
                <w:sz w:val="16"/>
                <w:szCs w:val="16"/>
                <w:lang w:val="en-GB" w:eastAsia="en-US"/>
              </w:rPr>
              <w:drawing>
                <wp:inline distT="0" distB="0" distL="0" distR="0" wp14:anchorId="20FD1158" wp14:editId="4F153442">
                  <wp:extent cx="34925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w:eastAsia="Batang" w:hAnsi="Times" w:cs="Times New Roman"/>
                <w:iCs/>
                <w:kern w:val="0"/>
                <w:position w:val="-9"/>
                <w:sz w:val="16"/>
                <w:szCs w:val="16"/>
                <w:lang w:val="en-GB" w:eastAsia="en-US"/>
              </w:rPr>
              <w:instrText xml:space="preserve"> </w:instrText>
            </w:r>
            <w:r w:rsidRPr="00045465">
              <w:rPr>
                <w:rFonts w:ascii="Times" w:eastAsia="Batang" w:hAnsi="Times" w:cs="Times New Roman"/>
                <w:iCs/>
                <w:kern w:val="0"/>
                <w:position w:val="-9"/>
                <w:sz w:val="16"/>
                <w:szCs w:val="16"/>
                <w:lang w:val="en-GB" w:eastAsia="en-US"/>
              </w:rPr>
              <w:fldChar w:fldCharType="separate"/>
            </w:r>
            <w:r w:rsidRPr="00045465">
              <w:rPr>
                <w:rFonts w:ascii="Times" w:eastAsia="Batang" w:hAnsi="Times" w:cs="Times New Roman"/>
                <w:noProof/>
                <w:kern w:val="0"/>
                <w:position w:val="-8"/>
                <w:sz w:val="16"/>
                <w:szCs w:val="16"/>
                <w:lang w:val="en-GB" w:eastAsia="en-US"/>
              </w:rPr>
              <w:drawing>
                <wp:inline distT="0" distB="0" distL="0" distR="0" wp14:anchorId="278F2367" wp14:editId="2EB7A3FD">
                  <wp:extent cx="34925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045465">
              <w:rPr>
                <w:rFonts w:ascii="Times" w:eastAsia="Batang" w:hAnsi="Times" w:cs="Times New Roman"/>
                <w:iCs/>
                <w:kern w:val="0"/>
                <w:position w:val="-9"/>
                <w:sz w:val="16"/>
                <w:szCs w:val="16"/>
                <w:lang w:val="en-GB" w:eastAsia="en-US"/>
              </w:rPr>
              <w:fldChar w:fldCharType="end"/>
            </w:r>
            <w:r w:rsidRPr="00045465">
              <w:rPr>
                <w:rFonts w:ascii="Times" w:eastAsia="Batang" w:hAnsi="Times" w:cs="Times New Roman"/>
                <w:iCs/>
                <w:kern w:val="0"/>
                <w:position w:val="-9"/>
                <w:sz w:val="16"/>
                <w:szCs w:val="16"/>
                <w:lang w:val="en-GB" w:eastAsia="en-US"/>
              </w:rPr>
              <w:t xml:space="preserve"> </w:t>
            </w:r>
            <w:r w:rsidRPr="00045465">
              <w:rPr>
                <w:rFonts w:ascii="Times New Roman" w:eastAsia="Times New Roman" w:hAnsi="Times New Roman" w:cs="Times New Roman"/>
                <w:iCs/>
                <w:kern w:val="0"/>
                <w:sz w:val="16"/>
                <w:szCs w:val="16"/>
                <w:lang w:val="en-GB" w:eastAsia="en-US"/>
              </w:rPr>
              <w:t>is based on 12 LSB bits CRC of PSCCH associated with the SL PRS</w:t>
            </w:r>
          </w:p>
          <w:p w14:paraId="29BA34D9" w14:textId="77777777" w:rsidR="00045465" w:rsidRPr="00045465" w:rsidRDefault="00045465" w:rsidP="00D40E6C">
            <w:pPr>
              <w:jc w:val="both"/>
              <w:rPr>
                <w:sz w:val="22"/>
                <w:lang w:val="en-GB"/>
              </w:rPr>
            </w:pPr>
          </w:p>
        </w:tc>
      </w:tr>
    </w:tbl>
    <w:p w14:paraId="5888B303" w14:textId="77777777" w:rsidR="00045465" w:rsidRDefault="00045465" w:rsidP="00D40E6C">
      <w:pPr>
        <w:jc w:val="both"/>
        <w:rPr>
          <w:sz w:val="22"/>
        </w:rPr>
      </w:pPr>
    </w:p>
    <w:p w14:paraId="036EF2BF" w14:textId="1E6D488B" w:rsidR="007D7B9D" w:rsidRDefault="007D7B9D" w:rsidP="00D40E6C">
      <w:pPr>
        <w:jc w:val="both"/>
        <w:rPr>
          <w:sz w:val="22"/>
        </w:rPr>
      </w:pPr>
      <w:r>
        <w:rPr>
          <w:sz w:val="22"/>
        </w:rPr>
        <w:t>T</w:t>
      </w:r>
      <w:r w:rsidR="00BC4548">
        <w:rPr>
          <w:sz w:val="22"/>
        </w:rPr>
        <w:t xml:space="preserve">o deliver the sequence ID by higher layer </w:t>
      </w:r>
      <w:r>
        <w:rPr>
          <w:sz w:val="22"/>
        </w:rPr>
        <w:t xml:space="preserve">may impede the RX UE to perform sensing based on SL-PRS through the RSRP measurement. Although it is claimed by the proponents that it could </w:t>
      </w:r>
      <w:r w:rsidR="0021423D">
        <w:rPr>
          <w:sz w:val="22"/>
        </w:rPr>
        <w:t xml:space="preserve">avoid </w:t>
      </w:r>
      <w:r>
        <w:rPr>
          <w:sz w:val="22"/>
        </w:rPr>
        <w:t>the attack by malicious UEs</w:t>
      </w:r>
      <w:r w:rsidR="0021423D">
        <w:rPr>
          <w:sz w:val="22"/>
        </w:rPr>
        <w:t xml:space="preserve">, </w:t>
      </w:r>
      <w:r w:rsidR="00B712B2">
        <w:rPr>
          <w:sz w:val="22"/>
        </w:rPr>
        <w:t xml:space="preserve">but </w:t>
      </w:r>
      <w:r w:rsidR="0021423D">
        <w:rPr>
          <w:sz w:val="22"/>
        </w:rPr>
        <w:t xml:space="preserve">we believe that, the limited sequence ID range </w:t>
      </w:r>
      <w:r w:rsidR="000427A5">
        <w:rPr>
          <w:sz w:val="22"/>
        </w:rPr>
        <w:t>could</w:t>
      </w:r>
      <w:r w:rsidR="0021423D">
        <w:rPr>
          <w:sz w:val="22"/>
        </w:rPr>
        <w:t xml:space="preserve"> still be easy to be broken by </w:t>
      </w:r>
      <w:r w:rsidR="00B712B2">
        <w:rPr>
          <w:sz w:val="22"/>
        </w:rPr>
        <w:t xml:space="preserve">using </w:t>
      </w:r>
      <w:r w:rsidR="0021423D">
        <w:rPr>
          <w:sz w:val="22"/>
        </w:rPr>
        <w:t>high performance computing devices</w:t>
      </w:r>
      <w:r w:rsidR="00B712B2">
        <w:rPr>
          <w:sz w:val="22"/>
        </w:rPr>
        <w:t xml:space="preserve"> to search</w:t>
      </w:r>
      <w:r w:rsidR="0021423D">
        <w:rPr>
          <w:sz w:val="22"/>
        </w:rPr>
        <w:t xml:space="preserve">. </w:t>
      </w:r>
    </w:p>
    <w:p w14:paraId="5038E4E6" w14:textId="31B22266" w:rsidR="0021423D" w:rsidRDefault="0021423D" w:rsidP="00D40E6C">
      <w:pPr>
        <w:jc w:val="both"/>
        <w:rPr>
          <w:sz w:val="22"/>
        </w:rPr>
      </w:pPr>
    </w:p>
    <w:p w14:paraId="2942E289" w14:textId="77777777" w:rsidR="009E55CF" w:rsidRDefault="0021423D" w:rsidP="00D40E6C">
      <w:pPr>
        <w:jc w:val="both"/>
        <w:rPr>
          <w:sz w:val="22"/>
        </w:rPr>
      </w:pPr>
      <w:r>
        <w:rPr>
          <w:sz w:val="22"/>
        </w:rPr>
        <w:t xml:space="preserve">One way is to further increase the sequence ID range from the existing range between 0 and 4095. </w:t>
      </w:r>
      <w:r w:rsidR="005E5C37">
        <w:rPr>
          <w:sz w:val="22"/>
        </w:rPr>
        <w:t>We consider to expand the range to {0, 2</w:t>
      </w:r>
      <w:r w:rsidR="005E5C37" w:rsidRPr="005E5C37">
        <w:rPr>
          <w:sz w:val="22"/>
          <w:vertAlign w:val="superscript"/>
        </w:rPr>
        <w:t>19</w:t>
      </w:r>
      <w:r w:rsidR="005E5C37">
        <w:rPr>
          <w:sz w:val="22"/>
        </w:rPr>
        <w:t>- 1</w:t>
      </w:r>
      <w:r w:rsidR="00B712B2">
        <w:rPr>
          <w:sz w:val="22"/>
        </w:rPr>
        <w:t xml:space="preserve"> = 524287 </w:t>
      </w:r>
      <w:r w:rsidR="005E5C37">
        <w:rPr>
          <w:sz w:val="22"/>
        </w:rPr>
        <w:t>} in order to provide more sufficient protection.</w:t>
      </w:r>
    </w:p>
    <w:p w14:paraId="4CB7BBFC" w14:textId="77777777" w:rsidR="009E55CF" w:rsidRDefault="009E55CF" w:rsidP="00D40E6C">
      <w:pPr>
        <w:jc w:val="both"/>
        <w:rPr>
          <w:sz w:val="22"/>
        </w:rPr>
      </w:pPr>
    </w:p>
    <w:p w14:paraId="19DE6A8A" w14:textId="71A0D3B7" w:rsidR="0021423D" w:rsidRDefault="009E55CF" w:rsidP="00D40E6C">
      <w:pPr>
        <w:jc w:val="both"/>
        <w:rPr>
          <w:sz w:val="22"/>
        </w:rPr>
      </w:pPr>
      <w:r>
        <w:rPr>
          <w:sz w:val="22"/>
        </w:rPr>
        <w:t>The whole FFS sentence could be removed for the reason that, it could be up to higher layer to determine using CRC or higher layer configuration for the sequence ID. If higher layer determines to use SL-PRS for sensing, the sequence ID will not be provided through higher layer configuration.</w:t>
      </w:r>
      <w:r w:rsidR="005E5C37">
        <w:rPr>
          <w:sz w:val="22"/>
        </w:rPr>
        <w:t xml:space="preserve"> </w:t>
      </w:r>
    </w:p>
    <w:p w14:paraId="43FA7DC5" w14:textId="0C20A083" w:rsidR="007D7B9D" w:rsidRDefault="007D7B9D" w:rsidP="00D40E6C">
      <w:pPr>
        <w:jc w:val="both"/>
        <w:rPr>
          <w:sz w:val="22"/>
        </w:rPr>
      </w:pPr>
    </w:p>
    <w:p w14:paraId="5ABA7CA2" w14:textId="3DF14637" w:rsidR="00B712B2" w:rsidRPr="0051419A" w:rsidRDefault="00B712B2" w:rsidP="00D40E6C">
      <w:pPr>
        <w:jc w:val="both"/>
        <w:rPr>
          <w:sz w:val="20"/>
          <w:szCs w:val="20"/>
        </w:rPr>
      </w:pPr>
      <w:r w:rsidRPr="0051419A">
        <w:rPr>
          <w:b/>
          <w:bCs/>
          <w:sz w:val="20"/>
          <w:szCs w:val="20"/>
        </w:rPr>
        <w:t>Proposal 3-1</w:t>
      </w:r>
      <w:r w:rsidRPr="0051419A">
        <w:rPr>
          <w:sz w:val="20"/>
          <w:szCs w:val="20"/>
        </w:rPr>
        <w:t>: Expand the sequence ID range to {0, 2</w:t>
      </w:r>
      <w:r w:rsidRPr="0051419A">
        <w:rPr>
          <w:sz w:val="20"/>
          <w:szCs w:val="20"/>
          <w:vertAlign w:val="superscript"/>
        </w:rPr>
        <w:t>19</w:t>
      </w:r>
      <w:r w:rsidRPr="0051419A">
        <w:rPr>
          <w:sz w:val="20"/>
          <w:szCs w:val="20"/>
        </w:rPr>
        <w:t>- 1 = 524287 }</w:t>
      </w:r>
    </w:p>
    <w:p w14:paraId="1D362A34" w14:textId="41E71841" w:rsidR="00CE040C" w:rsidRDefault="00CE040C" w:rsidP="00CE040C">
      <w:pPr>
        <w:contextualSpacing/>
        <w:jc w:val="both"/>
        <w:rPr>
          <w:rFonts w:cstheme="minorHAnsi"/>
          <w:sz w:val="22"/>
        </w:rPr>
      </w:pPr>
    </w:p>
    <w:p w14:paraId="219639D7" w14:textId="6B603311" w:rsidR="009E55CF" w:rsidRPr="009E55CF" w:rsidRDefault="009E55CF" w:rsidP="009E55CF">
      <w:pPr>
        <w:contextualSpacing/>
        <w:jc w:val="both"/>
        <w:rPr>
          <w:rFonts w:cstheme="minorHAnsi"/>
          <w:sz w:val="20"/>
          <w:szCs w:val="20"/>
        </w:rPr>
      </w:pPr>
      <w:r w:rsidRPr="009E55CF">
        <w:rPr>
          <w:rFonts w:cstheme="minorHAnsi"/>
          <w:b/>
          <w:bCs/>
          <w:sz w:val="20"/>
          <w:szCs w:val="20"/>
        </w:rPr>
        <w:t>Proposal 3-2</w:t>
      </w:r>
      <w:r w:rsidRPr="009E55CF">
        <w:rPr>
          <w:rFonts w:cstheme="minorHAnsi"/>
          <w:sz w:val="20"/>
          <w:szCs w:val="20"/>
        </w:rPr>
        <w:t>: The whole FFS sentence could be removed: “</w:t>
      </w:r>
      <w:r w:rsidRPr="009E55CF">
        <w:rPr>
          <w:rFonts w:ascii="Times" w:eastAsia="Batang" w:hAnsi="Times" w:cs="Times New Roman"/>
          <w:iCs/>
          <w:kern w:val="0"/>
          <w:sz w:val="20"/>
          <w:szCs w:val="20"/>
          <w:lang w:val="en-GB" w:eastAsia="en-US"/>
        </w:rPr>
        <w:t xml:space="preserve">FFS: If (pre-)configured for a resource pool and use of SL PRS for sensing is supported, </w:t>
      </w:r>
      <w:r w:rsidRPr="009E55CF">
        <w:rPr>
          <w:rFonts w:ascii="Times" w:eastAsia="Batang" w:hAnsi="Times" w:cs="Times New Roman"/>
          <w:iCs/>
          <w:kern w:val="0"/>
          <w:position w:val="-9"/>
          <w:sz w:val="20"/>
          <w:szCs w:val="20"/>
          <w:lang w:val="en-GB" w:eastAsia="en-US"/>
        </w:rPr>
        <w:fldChar w:fldCharType="begin"/>
      </w:r>
      <w:r w:rsidRPr="009E55CF">
        <w:rPr>
          <w:rFonts w:ascii="Times" w:eastAsia="Batang" w:hAnsi="Times" w:cs="Times New Roman"/>
          <w:iCs/>
          <w:kern w:val="0"/>
          <w:position w:val="-9"/>
          <w:sz w:val="20"/>
          <w:szCs w:val="20"/>
          <w:lang w:val="en-GB" w:eastAsia="en-US"/>
        </w:rPr>
        <w:instrText xml:space="preserve"> QUOTE </w:instrText>
      </w:r>
      <w:r w:rsidRPr="009E55CF">
        <w:rPr>
          <w:rFonts w:ascii="Times" w:eastAsia="Batang" w:hAnsi="Times" w:cs="Times New Roman"/>
          <w:noProof/>
          <w:kern w:val="0"/>
          <w:position w:val="-8"/>
          <w:sz w:val="20"/>
          <w:szCs w:val="20"/>
          <w:lang w:val="en-GB" w:eastAsia="en-US"/>
        </w:rPr>
        <w:drawing>
          <wp:inline distT="0" distB="0" distL="0" distR="0" wp14:anchorId="1B35A89A" wp14:editId="7491D7F6">
            <wp:extent cx="34925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9E55CF">
        <w:rPr>
          <w:rFonts w:ascii="Times" w:eastAsia="Batang" w:hAnsi="Times" w:cs="Times New Roman"/>
          <w:iCs/>
          <w:kern w:val="0"/>
          <w:position w:val="-9"/>
          <w:sz w:val="20"/>
          <w:szCs w:val="20"/>
          <w:lang w:val="en-GB" w:eastAsia="en-US"/>
        </w:rPr>
        <w:instrText xml:space="preserve"> </w:instrText>
      </w:r>
      <w:r w:rsidRPr="009E55CF">
        <w:rPr>
          <w:rFonts w:ascii="Times" w:eastAsia="Batang" w:hAnsi="Times" w:cs="Times New Roman"/>
          <w:iCs/>
          <w:kern w:val="0"/>
          <w:position w:val="-9"/>
          <w:sz w:val="20"/>
          <w:szCs w:val="20"/>
          <w:lang w:val="en-GB" w:eastAsia="en-US"/>
        </w:rPr>
        <w:fldChar w:fldCharType="separate"/>
      </w:r>
      <w:r w:rsidRPr="009E55CF">
        <w:rPr>
          <w:rFonts w:ascii="Times" w:eastAsia="Batang" w:hAnsi="Times" w:cs="Times New Roman"/>
          <w:noProof/>
          <w:kern w:val="0"/>
          <w:position w:val="-8"/>
          <w:sz w:val="20"/>
          <w:szCs w:val="20"/>
          <w:lang w:val="en-GB" w:eastAsia="en-US"/>
        </w:rPr>
        <w:drawing>
          <wp:inline distT="0" distB="0" distL="0" distR="0" wp14:anchorId="1A16E52A" wp14:editId="7B624C34">
            <wp:extent cx="34925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9E55CF">
        <w:rPr>
          <w:rFonts w:ascii="Times" w:eastAsia="Batang" w:hAnsi="Times" w:cs="Times New Roman"/>
          <w:iCs/>
          <w:kern w:val="0"/>
          <w:position w:val="-9"/>
          <w:sz w:val="20"/>
          <w:szCs w:val="20"/>
          <w:lang w:val="en-GB" w:eastAsia="en-US"/>
        </w:rPr>
        <w:fldChar w:fldCharType="end"/>
      </w:r>
      <w:r w:rsidRPr="009E55CF">
        <w:rPr>
          <w:rFonts w:ascii="Times" w:eastAsia="Batang" w:hAnsi="Times" w:cs="Times New Roman"/>
          <w:iCs/>
          <w:kern w:val="0"/>
          <w:position w:val="-9"/>
          <w:sz w:val="20"/>
          <w:szCs w:val="20"/>
          <w:lang w:val="en-GB" w:eastAsia="en-US"/>
        </w:rPr>
        <w:t xml:space="preserve"> </w:t>
      </w:r>
      <w:r w:rsidRPr="009E55CF">
        <w:rPr>
          <w:rFonts w:ascii="Times New Roman" w:eastAsia="Times New Roman" w:hAnsi="Times New Roman" w:cs="Times New Roman"/>
          <w:iCs/>
          <w:kern w:val="0"/>
          <w:sz w:val="20"/>
          <w:szCs w:val="20"/>
          <w:lang w:val="en-GB" w:eastAsia="en-US"/>
        </w:rPr>
        <w:t>is based on 12 LSB bits CRC of PSCCH associated with the SL</w:t>
      </w:r>
      <w:r w:rsidRPr="009E55CF">
        <w:rPr>
          <w:rFonts w:ascii="Times" w:eastAsia="Batang" w:hAnsi="Times" w:cs="Times New Roman"/>
          <w:iCs/>
          <w:kern w:val="0"/>
          <w:sz w:val="20"/>
          <w:szCs w:val="20"/>
          <w:lang w:val="en-GB" w:eastAsia="en-US"/>
        </w:rPr>
        <w:t xml:space="preserve"> PRS”</w:t>
      </w:r>
    </w:p>
    <w:p w14:paraId="4F17D5F2" w14:textId="60778379" w:rsidR="009E55CF" w:rsidRPr="009E55CF" w:rsidRDefault="009E55CF" w:rsidP="00CE040C">
      <w:pPr>
        <w:contextualSpacing/>
        <w:jc w:val="both"/>
        <w:rPr>
          <w:rFonts w:cstheme="minorHAnsi"/>
          <w:sz w:val="20"/>
          <w:szCs w:val="20"/>
          <w:lang w:val="en-GB"/>
        </w:rPr>
      </w:pPr>
    </w:p>
    <w:p w14:paraId="41FDC071" w14:textId="77777777" w:rsidR="00CE040C" w:rsidRDefault="00CE040C" w:rsidP="00CE040C">
      <w:pPr>
        <w:jc w:val="both"/>
        <w:rPr>
          <w:sz w:val="22"/>
        </w:rPr>
      </w:pPr>
    </w:p>
    <w:p w14:paraId="3ECC87B1" w14:textId="187FEB09" w:rsidR="00CE040C" w:rsidRDefault="00CE040C" w:rsidP="00CE040C">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Gap symbol for each TDMed SL-PRS?</w:t>
      </w:r>
    </w:p>
    <w:tbl>
      <w:tblPr>
        <w:tblStyle w:val="TableGrid"/>
        <w:tblW w:w="0" w:type="auto"/>
        <w:tblLook w:val="04A0" w:firstRow="1" w:lastRow="0" w:firstColumn="1" w:lastColumn="0" w:noHBand="0" w:noVBand="1"/>
      </w:tblPr>
      <w:tblGrid>
        <w:gridCol w:w="9629"/>
      </w:tblGrid>
      <w:tr w:rsidR="00BA7254" w14:paraId="27D76CD9" w14:textId="77777777" w:rsidTr="00BA7254">
        <w:tc>
          <w:tcPr>
            <w:tcW w:w="9629" w:type="dxa"/>
          </w:tcPr>
          <w:p w14:paraId="0E8C4034" w14:textId="77777777" w:rsidR="00BA7254" w:rsidRPr="00BA7254" w:rsidRDefault="00BA7254" w:rsidP="00BA7254">
            <w:pPr>
              <w:widowControl/>
              <w:rPr>
                <w:rFonts w:ascii="Times New Roman" w:eastAsia="Batang" w:hAnsi="Times New Roman" w:cs="Times New Roman"/>
                <w:b/>
                <w:iCs/>
                <w:kern w:val="0"/>
                <w:sz w:val="16"/>
                <w:szCs w:val="16"/>
                <w:lang w:val="en-GB" w:eastAsia="en-US"/>
              </w:rPr>
            </w:pPr>
            <w:r w:rsidRPr="00BA7254">
              <w:rPr>
                <w:rFonts w:ascii="Times New Roman" w:eastAsia="Batang" w:hAnsi="Times New Roman" w:cs="Times New Roman"/>
                <w:b/>
                <w:iCs/>
                <w:kern w:val="0"/>
                <w:sz w:val="16"/>
                <w:szCs w:val="16"/>
                <w:highlight w:val="green"/>
                <w:lang w:val="en-GB" w:eastAsia="en-US"/>
              </w:rPr>
              <w:t>Agreement</w:t>
            </w:r>
          </w:p>
          <w:p w14:paraId="3587C09D" w14:textId="77777777" w:rsidR="00BA7254" w:rsidRPr="00BA7254" w:rsidRDefault="00BA7254" w:rsidP="00BA7254">
            <w:pPr>
              <w:widowControl/>
              <w:numPr>
                <w:ilvl w:val="0"/>
                <w:numId w:val="5"/>
              </w:numPr>
              <w:snapToGrid w:val="0"/>
              <w:ind w:left="720"/>
              <w:rPr>
                <w:rFonts w:ascii="Times New Roman" w:eastAsia="Calibri" w:hAnsi="Times New Roman" w:cs="Times New Roman"/>
                <w:iCs/>
                <w:kern w:val="0"/>
                <w:sz w:val="16"/>
                <w:szCs w:val="16"/>
                <w:lang w:val="en-GB" w:eastAsia="en-US"/>
              </w:rPr>
            </w:pPr>
            <w:r w:rsidRPr="00BA7254">
              <w:rPr>
                <w:rFonts w:ascii="Times New Roman" w:eastAsia="Calibri" w:hAnsi="Times New Roman" w:cs="Times New Roman"/>
                <w:iCs/>
                <w:kern w:val="0"/>
                <w:sz w:val="16"/>
                <w:szCs w:val="16"/>
                <w:lang w:val="en-GB" w:eastAsia="en-US"/>
              </w:rPr>
              <w:t>In a dedicated resource pool, a SL PRS resource is immediately followed by a gap symbol at least:</w:t>
            </w:r>
          </w:p>
          <w:p w14:paraId="33F529F1" w14:textId="77777777" w:rsidR="00BA7254" w:rsidRPr="00BA7254" w:rsidRDefault="00BA7254" w:rsidP="00BA7254">
            <w:pPr>
              <w:widowControl/>
              <w:numPr>
                <w:ilvl w:val="1"/>
                <w:numId w:val="5"/>
              </w:numPr>
              <w:snapToGrid w:val="0"/>
              <w:ind w:left="1559" w:hanging="340"/>
              <w:rPr>
                <w:rFonts w:ascii="Times New Roman" w:eastAsia="Calibri" w:hAnsi="Times New Roman" w:cs="Times New Roman"/>
                <w:iCs/>
                <w:kern w:val="0"/>
                <w:sz w:val="16"/>
                <w:szCs w:val="16"/>
                <w:lang w:val="en-GB" w:eastAsia="en-US"/>
              </w:rPr>
            </w:pPr>
            <w:r w:rsidRPr="00BA7254">
              <w:rPr>
                <w:rFonts w:ascii="Times New Roman" w:eastAsia="Calibri" w:hAnsi="Times New Roman" w:cs="Times New Roman"/>
                <w:iCs/>
                <w:kern w:val="0"/>
                <w:sz w:val="16"/>
                <w:szCs w:val="16"/>
                <w:lang w:val="en-GB" w:eastAsia="en-US"/>
              </w:rPr>
              <w:t>if the gap symbol corresponds to the last SL symbol of a slot.</w:t>
            </w:r>
          </w:p>
          <w:p w14:paraId="5F56D366" w14:textId="77777777" w:rsidR="00BA7254" w:rsidRPr="00BA7254" w:rsidRDefault="00BA7254" w:rsidP="00BA7254">
            <w:pPr>
              <w:widowControl/>
              <w:numPr>
                <w:ilvl w:val="1"/>
                <w:numId w:val="5"/>
              </w:numPr>
              <w:snapToGrid w:val="0"/>
              <w:ind w:left="1559" w:hanging="340"/>
              <w:rPr>
                <w:rFonts w:ascii="Times New Roman" w:eastAsia="Calibri" w:hAnsi="Times New Roman" w:cs="Times New Roman"/>
                <w:iCs/>
                <w:kern w:val="0"/>
                <w:sz w:val="16"/>
                <w:szCs w:val="16"/>
                <w:lang w:val="en-GB" w:eastAsia="en-US"/>
              </w:rPr>
            </w:pPr>
            <w:r w:rsidRPr="00BA7254">
              <w:rPr>
                <w:rFonts w:ascii="Times New Roman" w:eastAsia="Calibri" w:hAnsi="Times New Roman" w:cs="Times New Roman"/>
                <w:iCs/>
                <w:kern w:val="0"/>
                <w:sz w:val="16"/>
                <w:szCs w:val="16"/>
                <w:lang w:val="en-GB" w:eastAsia="en-US"/>
              </w:rPr>
              <w:t>Note: the gap can be used at least for Tx/Rx switching</w:t>
            </w:r>
          </w:p>
          <w:p w14:paraId="20F8C985" w14:textId="77777777" w:rsidR="00BA7254" w:rsidRPr="00BA7254" w:rsidRDefault="00BA7254" w:rsidP="00BA7254">
            <w:pPr>
              <w:widowControl/>
              <w:numPr>
                <w:ilvl w:val="1"/>
                <w:numId w:val="5"/>
              </w:numPr>
              <w:snapToGrid w:val="0"/>
              <w:ind w:left="1559" w:hanging="340"/>
              <w:rPr>
                <w:rFonts w:ascii="Times New Roman" w:eastAsia="Calibri" w:hAnsi="Times New Roman" w:cs="Times New Roman"/>
                <w:iCs/>
                <w:kern w:val="0"/>
                <w:sz w:val="16"/>
                <w:szCs w:val="16"/>
                <w:lang w:val="en-GB" w:eastAsia="en-US"/>
              </w:rPr>
            </w:pPr>
            <w:r w:rsidRPr="00BA7254">
              <w:rPr>
                <w:rFonts w:ascii="Times New Roman" w:eastAsia="Calibri" w:hAnsi="Times New Roman" w:cs="Times New Roman"/>
                <w:iCs/>
                <w:kern w:val="0"/>
                <w:sz w:val="16"/>
                <w:szCs w:val="16"/>
                <w:lang w:val="en-GB" w:eastAsia="en-US"/>
              </w:rPr>
              <w:t>FFS: when TDM of multiple SL PRS resources within a slot is enabled in the dedicated resource pool</w:t>
            </w:r>
          </w:p>
          <w:p w14:paraId="0357C884" w14:textId="77777777" w:rsidR="00BA7254" w:rsidRPr="00BA7254" w:rsidRDefault="00BA7254" w:rsidP="00BA7254">
            <w:pPr>
              <w:widowControl/>
              <w:numPr>
                <w:ilvl w:val="0"/>
                <w:numId w:val="5"/>
              </w:numPr>
              <w:snapToGrid w:val="0"/>
              <w:ind w:left="720"/>
              <w:rPr>
                <w:rFonts w:ascii="Times New Roman" w:eastAsia="Calibri" w:hAnsi="Times New Roman" w:cs="Times New Roman"/>
                <w:iCs/>
                <w:kern w:val="0"/>
                <w:sz w:val="16"/>
                <w:szCs w:val="16"/>
                <w:lang w:val="en-GB" w:eastAsia="en-US"/>
              </w:rPr>
            </w:pPr>
            <w:r w:rsidRPr="00BA7254">
              <w:rPr>
                <w:rFonts w:ascii="Times New Roman" w:eastAsia="Calibri" w:hAnsi="Times New Roman" w:cs="Times New Roman"/>
                <w:iCs/>
                <w:kern w:val="0"/>
                <w:sz w:val="16"/>
                <w:szCs w:val="16"/>
                <w:lang w:val="en-GB" w:eastAsia="en-US"/>
              </w:rPr>
              <w:t>FFS: Other cases.</w:t>
            </w:r>
          </w:p>
          <w:p w14:paraId="59B41138" w14:textId="77777777" w:rsidR="00BA7254" w:rsidRPr="00BA7254" w:rsidRDefault="00BA7254" w:rsidP="00BA7254">
            <w:pPr>
              <w:widowControl/>
              <w:numPr>
                <w:ilvl w:val="0"/>
                <w:numId w:val="5"/>
              </w:numPr>
              <w:snapToGrid w:val="0"/>
              <w:ind w:left="720"/>
              <w:rPr>
                <w:rFonts w:ascii="Times New Roman" w:eastAsia="Calibri" w:hAnsi="Times New Roman" w:cs="Times New Roman"/>
                <w:iCs/>
                <w:kern w:val="0"/>
                <w:sz w:val="16"/>
                <w:szCs w:val="16"/>
                <w:lang w:val="en-GB" w:eastAsia="en-US"/>
              </w:rPr>
            </w:pPr>
            <w:r w:rsidRPr="00BA7254">
              <w:rPr>
                <w:rFonts w:ascii="Times New Roman" w:eastAsia="Calibri" w:hAnsi="Times New Roman" w:cs="Times New Roman"/>
                <w:iCs/>
                <w:kern w:val="0"/>
                <w:sz w:val="16"/>
                <w:szCs w:val="16"/>
                <w:lang w:val="en-GB" w:eastAsia="en-US"/>
              </w:rPr>
              <w:t>FFS: for SL PRS resource in a shared resource pool.</w:t>
            </w:r>
          </w:p>
          <w:p w14:paraId="554A8B86" w14:textId="77777777" w:rsidR="00BA7254" w:rsidRPr="00BA7254" w:rsidRDefault="00BA7254" w:rsidP="00D40E6C">
            <w:pPr>
              <w:jc w:val="both"/>
              <w:rPr>
                <w:sz w:val="22"/>
                <w:lang w:val="en-GB"/>
              </w:rPr>
            </w:pPr>
          </w:p>
        </w:tc>
      </w:tr>
    </w:tbl>
    <w:p w14:paraId="78B80757" w14:textId="77777777" w:rsidR="00BA7254" w:rsidRDefault="00BA7254" w:rsidP="00D40E6C">
      <w:pPr>
        <w:jc w:val="both"/>
        <w:rPr>
          <w:sz w:val="22"/>
        </w:rPr>
      </w:pPr>
    </w:p>
    <w:p w14:paraId="1AA249AF" w14:textId="3A9C126A" w:rsidR="005901B8" w:rsidRDefault="00CE040C" w:rsidP="00D40E6C">
      <w:pPr>
        <w:jc w:val="both"/>
        <w:rPr>
          <w:sz w:val="22"/>
        </w:rPr>
      </w:pPr>
      <w:r>
        <w:rPr>
          <w:sz w:val="22"/>
        </w:rPr>
        <w:t xml:space="preserve">It is known that the gap symbol could be used for TX/RX switching. When a slot within </w:t>
      </w:r>
      <w:r w:rsidR="006F79CD">
        <w:rPr>
          <w:sz w:val="22"/>
        </w:rPr>
        <w:t xml:space="preserve">the </w:t>
      </w:r>
      <w:r>
        <w:rPr>
          <w:sz w:val="22"/>
        </w:rPr>
        <w:t xml:space="preserve">dedicated resource pool </w:t>
      </w:r>
      <w:r w:rsidR="006F79CD">
        <w:rPr>
          <w:sz w:val="22"/>
        </w:rPr>
        <w:t xml:space="preserve">it </w:t>
      </w:r>
      <w:r>
        <w:rPr>
          <w:sz w:val="22"/>
        </w:rPr>
        <w:t>allows the TDM transmission of SL-PRS from different TX UEs</w:t>
      </w:r>
      <w:r w:rsidR="006F79CD">
        <w:rPr>
          <w:sz w:val="22"/>
        </w:rPr>
        <w:t xml:space="preserve">, then there is a design issue whether there </w:t>
      </w:r>
      <w:r w:rsidR="000427A5">
        <w:rPr>
          <w:sz w:val="22"/>
        </w:rPr>
        <w:t>needs</w:t>
      </w:r>
      <w:r w:rsidR="006F79CD">
        <w:rPr>
          <w:sz w:val="22"/>
        </w:rPr>
        <w:t xml:space="preserve"> a gap symbol after each SL-PRS. </w:t>
      </w:r>
    </w:p>
    <w:p w14:paraId="7BB0975A" w14:textId="40AB4684" w:rsidR="00581636" w:rsidRDefault="00581636" w:rsidP="00D40E6C">
      <w:pPr>
        <w:jc w:val="both"/>
        <w:rPr>
          <w:sz w:val="22"/>
        </w:rPr>
      </w:pPr>
    </w:p>
    <w:p w14:paraId="013F0E90" w14:textId="77777777" w:rsidR="00782E70" w:rsidRDefault="00581636" w:rsidP="00D40E6C">
      <w:pPr>
        <w:jc w:val="both"/>
        <w:rPr>
          <w:sz w:val="22"/>
        </w:rPr>
      </w:pPr>
      <w:r>
        <w:rPr>
          <w:sz w:val="22"/>
        </w:rPr>
        <w:t>We consider to have a gap symbol for each TDMed SL-PRS to avoid the potential overlapping in time for the AGC symbol of next SL-PRS and the last symbol of the previous SL-PRS</w:t>
      </w:r>
      <w:r w:rsidR="003464E2">
        <w:rPr>
          <w:sz w:val="22"/>
        </w:rPr>
        <w:t>, for a RX-UE that may receive two SL-PRS in TDM</w:t>
      </w:r>
      <w:r w:rsidR="00BA7254">
        <w:rPr>
          <w:sz w:val="22"/>
        </w:rPr>
        <w:t xml:space="preserve"> manner</w:t>
      </w:r>
      <w:r w:rsidR="003464E2">
        <w:rPr>
          <w:sz w:val="22"/>
        </w:rPr>
        <w:t>.</w:t>
      </w:r>
    </w:p>
    <w:p w14:paraId="07B5F7E9" w14:textId="77777777" w:rsidR="00782E70" w:rsidRDefault="00782E70" w:rsidP="00D40E6C">
      <w:pPr>
        <w:jc w:val="both"/>
        <w:rPr>
          <w:sz w:val="22"/>
        </w:rPr>
      </w:pPr>
    </w:p>
    <w:p w14:paraId="05BD024F" w14:textId="00BA2349" w:rsidR="00581636" w:rsidRDefault="00782E70" w:rsidP="00D40E6C">
      <w:pPr>
        <w:jc w:val="both"/>
        <w:rPr>
          <w:sz w:val="22"/>
        </w:rPr>
      </w:pPr>
      <w:r>
        <w:rPr>
          <w:sz w:val="22"/>
        </w:rPr>
        <w:t xml:space="preserve">It is also possible for a UE to receive SL-PRS and then transmit SL-PRS in the same slot, then the RX/TX switching could be needed within a slot. The received SL-PRS information could be obtained from reserved information of earlier slot so that the UE may transmit the PSCCH in this slot for the associated SL-PRS transmission. </w:t>
      </w:r>
      <w:r w:rsidR="00581636">
        <w:rPr>
          <w:sz w:val="22"/>
        </w:rPr>
        <w:t xml:space="preserve"> </w:t>
      </w:r>
    </w:p>
    <w:p w14:paraId="351C2C5B" w14:textId="3F7A6E3F" w:rsidR="003164AC" w:rsidRDefault="003164AC" w:rsidP="0042042A">
      <w:pPr>
        <w:jc w:val="both"/>
        <w:rPr>
          <w:sz w:val="22"/>
        </w:rPr>
      </w:pPr>
    </w:p>
    <w:p w14:paraId="56E45016" w14:textId="109E08CE" w:rsidR="000F7293" w:rsidRDefault="000F7293" w:rsidP="0042042A">
      <w:pPr>
        <w:jc w:val="both"/>
        <w:rPr>
          <w:sz w:val="22"/>
        </w:rPr>
      </w:pPr>
    </w:p>
    <w:p w14:paraId="19C47332" w14:textId="076BF383" w:rsidR="000F7293" w:rsidRPr="0051419A" w:rsidRDefault="0051419A" w:rsidP="0042042A">
      <w:pPr>
        <w:jc w:val="both"/>
        <w:rPr>
          <w:sz w:val="20"/>
          <w:szCs w:val="20"/>
        </w:rPr>
      </w:pPr>
      <w:r w:rsidRPr="0051419A">
        <w:rPr>
          <w:b/>
          <w:bCs/>
          <w:sz w:val="20"/>
          <w:szCs w:val="20"/>
        </w:rPr>
        <w:t>Proposal 4-1</w:t>
      </w:r>
      <w:r w:rsidRPr="0051419A">
        <w:rPr>
          <w:sz w:val="20"/>
          <w:szCs w:val="20"/>
        </w:rPr>
        <w:t xml:space="preserve">: Support to have gap symbol for </w:t>
      </w:r>
      <w:r w:rsidR="00C220DA">
        <w:rPr>
          <w:sz w:val="20"/>
          <w:szCs w:val="20"/>
        </w:rPr>
        <w:t xml:space="preserve">each </w:t>
      </w:r>
      <w:r w:rsidRPr="0051419A">
        <w:rPr>
          <w:sz w:val="20"/>
          <w:szCs w:val="20"/>
        </w:rPr>
        <w:t>SL-PRS in TDM manner within a slot</w:t>
      </w:r>
    </w:p>
    <w:p w14:paraId="64ACF710" w14:textId="77777777" w:rsidR="000F7293" w:rsidRDefault="000F7293" w:rsidP="000F7293">
      <w:pPr>
        <w:contextualSpacing/>
        <w:jc w:val="both"/>
        <w:rPr>
          <w:rFonts w:cstheme="minorHAnsi"/>
          <w:sz w:val="22"/>
        </w:rPr>
      </w:pPr>
    </w:p>
    <w:p w14:paraId="5A8F18D9" w14:textId="77777777" w:rsidR="000F7293" w:rsidRDefault="000F7293" w:rsidP="000F7293">
      <w:pPr>
        <w:jc w:val="both"/>
        <w:rPr>
          <w:sz w:val="22"/>
        </w:rPr>
      </w:pPr>
    </w:p>
    <w:p w14:paraId="3EB91639" w14:textId="5F522C04" w:rsidR="000F7293" w:rsidRDefault="000F7293" w:rsidP="000F7293">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The support of comb size</w:t>
      </w:r>
      <w:r w:rsidR="00730801">
        <w:rPr>
          <w:rFonts w:eastAsia="PMingLiU"/>
          <w:sz w:val="32"/>
          <w:szCs w:val="32"/>
          <w:lang w:val="en-US" w:eastAsia="zh-TW"/>
        </w:rPr>
        <w:t xml:space="preserve"> in the dedicated resource pool</w:t>
      </w:r>
    </w:p>
    <w:p w14:paraId="33426DF5" w14:textId="60E000CB" w:rsidR="000F7293" w:rsidRDefault="00730801" w:rsidP="0042042A">
      <w:pPr>
        <w:jc w:val="both"/>
        <w:rPr>
          <w:sz w:val="22"/>
        </w:rPr>
      </w:pPr>
      <w:r>
        <w:rPr>
          <w:sz w:val="22"/>
        </w:rPr>
        <w:t>The current comb size to be supported in the dedicated resource pool is 2, 4 and 6. We consider to additionally support comb 8 and 12, for the reason to reduce the ICI impact due</w:t>
      </w:r>
      <w:r w:rsidR="0075763C">
        <w:rPr>
          <w:sz w:val="22"/>
        </w:rPr>
        <w:t xml:space="preserve"> </w:t>
      </w:r>
      <w:r>
        <w:rPr>
          <w:sz w:val="22"/>
        </w:rPr>
        <w:t>to CFO between UEs, which is an issue discussed in resource allocation agenda.</w:t>
      </w:r>
    </w:p>
    <w:p w14:paraId="1A268F8A" w14:textId="545D5608" w:rsidR="00730801" w:rsidRDefault="00730801" w:rsidP="0042042A">
      <w:pPr>
        <w:jc w:val="both"/>
        <w:rPr>
          <w:sz w:val="22"/>
        </w:rPr>
      </w:pPr>
    </w:p>
    <w:p w14:paraId="1BBA53E4" w14:textId="0C8B686E" w:rsidR="00730801" w:rsidRDefault="00730801" w:rsidP="0042042A">
      <w:pPr>
        <w:jc w:val="both"/>
        <w:rPr>
          <w:sz w:val="22"/>
        </w:rPr>
      </w:pPr>
      <w:r>
        <w:rPr>
          <w:sz w:val="22"/>
        </w:rPr>
        <w:t>The comb 8 and 12 structure may not fully use all combs. The half of combs could be used to ensure larger frequency spacing between UEs</w:t>
      </w:r>
      <w:r w:rsidR="0075763C">
        <w:rPr>
          <w:sz w:val="22"/>
        </w:rPr>
        <w:t xml:space="preserve"> to reduce ICI impact.</w:t>
      </w:r>
    </w:p>
    <w:p w14:paraId="45B628DB" w14:textId="784A2C80" w:rsidR="00730801" w:rsidRDefault="00730801" w:rsidP="0042042A">
      <w:pPr>
        <w:jc w:val="both"/>
        <w:rPr>
          <w:sz w:val="22"/>
        </w:rPr>
      </w:pPr>
    </w:p>
    <w:p w14:paraId="509A2DA0" w14:textId="285E44CF" w:rsidR="00730801" w:rsidRPr="001A3BA1" w:rsidRDefault="00730801" w:rsidP="0042042A">
      <w:pPr>
        <w:jc w:val="both"/>
        <w:rPr>
          <w:sz w:val="20"/>
          <w:szCs w:val="20"/>
        </w:rPr>
      </w:pPr>
      <w:r w:rsidRPr="001A3BA1">
        <w:rPr>
          <w:b/>
          <w:bCs/>
          <w:sz w:val="20"/>
          <w:szCs w:val="20"/>
        </w:rPr>
        <w:t>Proposal 5-1</w:t>
      </w:r>
      <w:r w:rsidRPr="001A3BA1">
        <w:rPr>
          <w:sz w:val="20"/>
          <w:szCs w:val="20"/>
        </w:rPr>
        <w:t xml:space="preserve">: </w:t>
      </w:r>
      <w:r w:rsidR="0075763C">
        <w:rPr>
          <w:sz w:val="20"/>
          <w:szCs w:val="20"/>
        </w:rPr>
        <w:t>S</w:t>
      </w:r>
      <w:r w:rsidRPr="001A3BA1">
        <w:rPr>
          <w:sz w:val="20"/>
          <w:szCs w:val="20"/>
        </w:rPr>
        <w:t>upport comb 8 and 12 for the dedicated resource pool, at least for the case to use half of combs for reducing ICI impact due to CFO between UEs</w:t>
      </w:r>
    </w:p>
    <w:p w14:paraId="46919F10" w14:textId="77777777" w:rsidR="00730801" w:rsidRDefault="00730801" w:rsidP="0042042A">
      <w:pPr>
        <w:jc w:val="both"/>
        <w:rPr>
          <w:sz w:val="22"/>
        </w:rPr>
      </w:pPr>
    </w:p>
    <w:bookmarkEnd w:id="3"/>
    <w:bookmarkEnd w:id="4"/>
    <w:bookmarkEnd w:id="5"/>
    <w:bookmarkEnd w:id="6"/>
    <w:bookmarkEnd w:id="7"/>
    <w:bookmarkEnd w:id="8"/>
    <w:bookmarkEnd w:id="9"/>
    <w:p w14:paraId="75967EBA" w14:textId="50C51F76" w:rsidR="00554BDB" w:rsidRDefault="00554BDB" w:rsidP="00E3430E">
      <w:pPr>
        <w:jc w:val="both"/>
        <w:rPr>
          <w:sz w:val="22"/>
        </w:rPr>
      </w:pPr>
    </w:p>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639751D2" w14:textId="71CDB4C3" w:rsidR="00077C54" w:rsidRPr="0051419A" w:rsidRDefault="00077C54" w:rsidP="00077C54">
      <w:pPr>
        <w:contextualSpacing/>
        <w:jc w:val="both"/>
        <w:rPr>
          <w:rFonts w:cstheme="minorHAnsi"/>
          <w:sz w:val="20"/>
          <w:szCs w:val="20"/>
        </w:rPr>
      </w:pPr>
      <w:r w:rsidRPr="0051419A">
        <w:rPr>
          <w:rFonts w:cstheme="minorHAnsi"/>
          <w:b/>
          <w:bCs/>
          <w:sz w:val="20"/>
          <w:szCs w:val="20"/>
        </w:rPr>
        <w:t>Proposal 2-1</w:t>
      </w:r>
      <w:r w:rsidRPr="0051419A">
        <w:rPr>
          <w:rFonts w:cstheme="minorHAnsi"/>
          <w:sz w:val="20"/>
          <w:szCs w:val="20"/>
        </w:rPr>
        <w:t>: The AGC symbol within the dedicated resource pool transmits SL-PRS</w:t>
      </w:r>
    </w:p>
    <w:p w14:paraId="3F2ADCBA" w14:textId="77777777" w:rsidR="00077C54" w:rsidRPr="0051419A" w:rsidRDefault="00077C54" w:rsidP="00077C54">
      <w:pPr>
        <w:contextualSpacing/>
        <w:jc w:val="both"/>
        <w:rPr>
          <w:rFonts w:cstheme="minorHAnsi"/>
          <w:sz w:val="20"/>
          <w:szCs w:val="20"/>
        </w:rPr>
      </w:pPr>
    </w:p>
    <w:p w14:paraId="6A629393" w14:textId="77777777" w:rsidR="00077C54" w:rsidRPr="0051419A" w:rsidRDefault="00077C54" w:rsidP="00077C54">
      <w:pPr>
        <w:contextualSpacing/>
        <w:jc w:val="both"/>
        <w:rPr>
          <w:rFonts w:cstheme="minorHAnsi"/>
          <w:sz w:val="20"/>
          <w:szCs w:val="20"/>
        </w:rPr>
      </w:pPr>
      <w:r w:rsidRPr="0051419A">
        <w:rPr>
          <w:rFonts w:cstheme="minorHAnsi"/>
          <w:b/>
          <w:bCs/>
          <w:sz w:val="20"/>
          <w:szCs w:val="20"/>
        </w:rPr>
        <w:t>Proposal 2-2</w:t>
      </w:r>
      <w:r w:rsidRPr="0051419A">
        <w:rPr>
          <w:rFonts w:cstheme="minorHAnsi"/>
          <w:sz w:val="20"/>
          <w:szCs w:val="20"/>
        </w:rPr>
        <w:t>: The RE offset in the AGC symbol could be the same as that in the last symbol of the SL-PRS resource</w:t>
      </w:r>
    </w:p>
    <w:p w14:paraId="62C45D98" w14:textId="77777777" w:rsidR="00077C54" w:rsidRPr="0051419A" w:rsidRDefault="00077C54" w:rsidP="00077C54">
      <w:pPr>
        <w:contextualSpacing/>
        <w:jc w:val="both"/>
        <w:rPr>
          <w:rFonts w:cstheme="minorHAnsi"/>
          <w:sz w:val="20"/>
          <w:szCs w:val="20"/>
        </w:rPr>
      </w:pPr>
    </w:p>
    <w:p w14:paraId="22477F57" w14:textId="77777777" w:rsidR="00077C54" w:rsidRPr="0051419A" w:rsidRDefault="00077C54" w:rsidP="00077C54">
      <w:pPr>
        <w:contextualSpacing/>
        <w:jc w:val="both"/>
        <w:rPr>
          <w:rFonts w:cstheme="minorHAnsi"/>
          <w:sz w:val="20"/>
          <w:szCs w:val="20"/>
        </w:rPr>
      </w:pPr>
      <w:r w:rsidRPr="0051419A">
        <w:rPr>
          <w:rFonts w:cstheme="minorHAnsi"/>
          <w:b/>
          <w:bCs/>
          <w:sz w:val="20"/>
          <w:szCs w:val="20"/>
        </w:rPr>
        <w:t>Proposal 2-3</w:t>
      </w:r>
      <w:r w:rsidRPr="0051419A">
        <w:rPr>
          <w:rFonts w:cstheme="minorHAnsi"/>
          <w:sz w:val="20"/>
          <w:szCs w:val="20"/>
        </w:rPr>
        <w:t>: The RS sequence could be generated based on the symbol index of the AGC symbol within the slot, which means the content doesn't need to duplicate that in the last symbol of SL-PRS</w:t>
      </w:r>
    </w:p>
    <w:p w14:paraId="12B9E2F0" w14:textId="2BECEE65" w:rsidR="00235099" w:rsidRPr="00235099" w:rsidRDefault="00235099" w:rsidP="00BC04BC">
      <w:pPr>
        <w:rPr>
          <w:sz w:val="20"/>
          <w:szCs w:val="20"/>
        </w:rPr>
      </w:pPr>
    </w:p>
    <w:p w14:paraId="75136C12" w14:textId="77777777" w:rsidR="00C220DA" w:rsidRPr="0051419A" w:rsidRDefault="00C220DA" w:rsidP="00C220DA">
      <w:pPr>
        <w:jc w:val="both"/>
        <w:rPr>
          <w:sz w:val="20"/>
          <w:szCs w:val="20"/>
        </w:rPr>
      </w:pPr>
      <w:r w:rsidRPr="0051419A">
        <w:rPr>
          <w:b/>
          <w:bCs/>
          <w:sz w:val="20"/>
          <w:szCs w:val="20"/>
        </w:rPr>
        <w:t>Proposal 3-1</w:t>
      </w:r>
      <w:r w:rsidRPr="0051419A">
        <w:rPr>
          <w:sz w:val="20"/>
          <w:szCs w:val="20"/>
        </w:rPr>
        <w:t>: Expand the sequence ID range to {0, 2</w:t>
      </w:r>
      <w:r w:rsidRPr="0051419A">
        <w:rPr>
          <w:sz w:val="20"/>
          <w:szCs w:val="20"/>
          <w:vertAlign w:val="superscript"/>
        </w:rPr>
        <w:t>19</w:t>
      </w:r>
      <w:r w:rsidRPr="0051419A">
        <w:rPr>
          <w:sz w:val="20"/>
          <w:szCs w:val="20"/>
        </w:rPr>
        <w:t>- 1 = 524287 }</w:t>
      </w:r>
    </w:p>
    <w:p w14:paraId="0525E275" w14:textId="77777777" w:rsidR="00C220DA" w:rsidRDefault="00C220DA" w:rsidP="00C220DA">
      <w:pPr>
        <w:contextualSpacing/>
        <w:jc w:val="both"/>
        <w:rPr>
          <w:rFonts w:cstheme="minorHAnsi"/>
          <w:sz w:val="22"/>
        </w:rPr>
      </w:pPr>
    </w:p>
    <w:p w14:paraId="196D55FB" w14:textId="77777777" w:rsidR="00C220DA" w:rsidRPr="009E55CF" w:rsidRDefault="00C220DA" w:rsidP="00C220DA">
      <w:pPr>
        <w:contextualSpacing/>
        <w:jc w:val="both"/>
        <w:rPr>
          <w:rFonts w:cstheme="minorHAnsi"/>
          <w:sz w:val="20"/>
          <w:szCs w:val="20"/>
        </w:rPr>
      </w:pPr>
      <w:r w:rsidRPr="009E55CF">
        <w:rPr>
          <w:rFonts w:cstheme="minorHAnsi"/>
          <w:b/>
          <w:bCs/>
          <w:sz w:val="20"/>
          <w:szCs w:val="20"/>
        </w:rPr>
        <w:t>Proposal 3-2</w:t>
      </w:r>
      <w:r w:rsidRPr="009E55CF">
        <w:rPr>
          <w:rFonts w:cstheme="minorHAnsi"/>
          <w:sz w:val="20"/>
          <w:szCs w:val="20"/>
        </w:rPr>
        <w:t>: The whole FFS sentence could be removed: “</w:t>
      </w:r>
      <w:r w:rsidRPr="009E55CF">
        <w:rPr>
          <w:rFonts w:ascii="Times" w:eastAsia="Batang" w:hAnsi="Times" w:cs="Times New Roman"/>
          <w:iCs/>
          <w:kern w:val="0"/>
          <w:sz w:val="20"/>
          <w:szCs w:val="20"/>
          <w:lang w:val="en-GB" w:eastAsia="en-US"/>
        </w:rPr>
        <w:t xml:space="preserve">FFS: If (pre-)configured for a resource pool and use of SL PRS for sensing is supported, </w:t>
      </w:r>
      <w:r w:rsidRPr="009E55CF">
        <w:rPr>
          <w:rFonts w:ascii="Times" w:eastAsia="Batang" w:hAnsi="Times" w:cs="Times New Roman"/>
          <w:iCs/>
          <w:kern w:val="0"/>
          <w:position w:val="-9"/>
          <w:sz w:val="20"/>
          <w:szCs w:val="20"/>
          <w:lang w:val="en-GB" w:eastAsia="en-US"/>
        </w:rPr>
        <w:fldChar w:fldCharType="begin"/>
      </w:r>
      <w:r w:rsidRPr="009E55CF">
        <w:rPr>
          <w:rFonts w:ascii="Times" w:eastAsia="Batang" w:hAnsi="Times" w:cs="Times New Roman"/>
          <w:iCs/>
          <w:kern w:val="0"/>
          <w:position w:val="-9"/>
          <w:sz w:val="20"/>
          <w:szCs w:val="20"/>
          <w:lang w:val="en-GB" w:eastAsia="en-US"/>
        </w:rPr>
        <w:instrText xml:space="preserve"> QUOTE </w:instrText>
      </w:r>
      <w:r w:rsidRPr="009E55CF">
        <w:rPr>
          <w:rFonts w:ascii="Times" w:eastAsia="Batang" w:hAnsi="Times" w:cs="Times New Roman"/>
          <w:noProof/>
          <w:kern w:val="0"/>
          <w:position w:val="-8"/>
          <w:sz w:val="20"/>
          <w:szCs w:val="20"/>
          <w:lang w:val="en-GB" w:eastAsia="en-US"/>
        </w:rPr>
        <w:drawing>
          <wp:inline distT="0" distB="0" distL="0" distR="0" wp14:anchorId="12884FDC" wp14:editId="126C5DF3">
            <wp:extent cx="349250" cy="17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9E55CF">
        <w:rPr>
          <w:rFonts w:ascii="Times" w:eastAsia="Batang" w:hAnsi="Times" w:cs="Times New Roman"/>
          <w:iCs/>
          <w:kern w:val="0"/>
          <w:position w:val="-9"/>
          <w:sz w:val="20"/>
          <w:szCs w:val="20"/>
          <w:lang w:val="en-GB" w:eastAsia="en-US"/>
        </w:rPr>
        <w:instrText xml:space="preserve"> </w:instrText>
      </w:r>
      <w:r w:rsidRPr="009E55CF">
        <w:rPr>
          <w:rFonts w:ascii="Times" w:eastAsia="Batang" w:hAnsi="Times" w:cs="Times New Roman"/>
          <w:iCs/>
          <w:kern w:val="0"/>
          <w:position w:val="-9"/>
          <w:sz w:val="20"/>
          <w:szCs w:val="20"/>
          <w:lang w:val="en-GB" w:eastAsia="en-US"/>
        </w:rPr>
        <w:fldChar w:fldCharType="separate"/>
      </w:r>
      <w:r w:rsidRPr="009E55CF">
        <w:rPr>
          <w:rFonts w:ascii="Times" w:eastAsia="Batang" w:hAnsi="Times" w:cs="Times New Roman"/>
          <w:noProof/>
          <w:kern w:val="0"/>
          <w:position w:val="-8"/>
          <w:sz w:val="20"/>
          <w:szCs w:val="20"/>
          <w:lang w:val="en-GB" w:eastAsia="en-US"/>
        </w:rPr>
        <w:drawing>
          <wp:inline distT="0" distB="0" distL="0" distR="0" wp14:anchorId="625D0180" wp14:editId="250F7D9E">
            <wp:extent cx="349250"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9E55CF">
        <w:rPr>
          <w:rFonts w:ascii="Times" w:eastAsia="Batang" w:hAnsi="Times" w:cs="Times New Roman"/>
          <w:iCs/>
          <w:kern w:val="0"/>
          <w:position w:val="-9"/>
          <w:sz w:val="20"/>
          <w:szCs w:val="20"/>
          <w:lang w:val="en-GB" w:eastAsia="en-US"/>
        </w:rPr>
        <w:fldChar w:fldCharType="end"/>
      </w:r>
      <w:r w:rsidRPr="009E55CF">
        <w:rPr>
          <w:rFonts w:ascii="Times" w:eastAsia="Batang" w:hAnsi="Times" w:cs="Times New Roman"/>
          <w:iCs/>
          <w:kern w:val="0"/>
          <w:position w:val="-9"/>
          <w:sz w:val="20"/>
          <w:szCs w:val="20"/>
          <w:lang w:val="en-GB" w:eastAsia="en-US"/>
        </w:rPr>
        <w:t xml:space="preserve"> </w:t>
      </w:r>
      <w:r w:rsidRPr="009E55CF">
        <w:rPr>
          <w:rFonts w:ascii="Times New Roman" w:eastAsia="Times New Roman" w:hAnsi="Times New Roman" w:cs="Times New Roman"/>
          <w:iCs/>
          <w:kern w:val="0"/>
          <w:sz w:val="20"/>
          <w:szCs w:val="20"/>
          <w:lang w:val="en-GB" w:eastAsia="en-US"/>
        </w:rPr>
        <w:t>is based on 12 LSB bits CRC of PSCCH associated with the SL</w:t>
      </w:r>
      <w:r w:rsidRPr="009E55CF">
        <w:rPr>
          <w:rFonts w:ascii="Times" w:eastAsia="Batang" w:hAnsi="Times" w:cs="Times New Roman"/>
          <w:iCs/>
          <w:kern w:val="0"/>
          <w:sz w:val="20"/>
          <w:szCs w:val="20"/>
          <w:lang w:val="en-GB" w:eastAsia="en-US"/>
        </w:rPr>
        <w:t xml:space="preserve"> PRS”</w:t>
      </w:r>
    </w:p>
    <w:p w14:paraId="743E3D12" w14:textId="62A3700A" w:rsidR="00235099" w:rsidRDefault="00235099" w:rsidP="00F23E64">
      <w:pPr>
        <w:contextualSpacing/>
        <w:jc w:val="both"/>
        <w:rPr>
          <w:sz w:val="20"/>
          <w:szCs w:val="20"/>
        </w:rPr>
      </w:pPr>
    </w:p>
    <w:p w14:paraId="41F4DA6C" w14:textId="77777777" w:rsidR="0075763C" w:rsidRPr="0051419A" w:rsidRDefault="0075763C" w:rsidP="0075763C">
      <w:pPr>
        <w:jc w:val="both"/>
        <w:rPr>
          <w:sz w:val="20"/>
          <w:szCs w:val="20"/>
        </w:rPr>
      </w:pPr>
      <w:r w:rsidRPr="0051419A">
        <w:rPr>
          <w:b/>
          <w:bCs/>
          <w:sz w:val="20"/>
          <w:szCs w:val="20"/>
        </w:rPr>
        <w:t>Proposal 4-1</w:t>
      </w:r>
      <w:r w:rsidRPr="0051419A">
        <w:rPr>
          <w:sz w:val="20"/>
          <w:szCs w:val="20"/>
        </w:rPr>
        <w:t xml:space="preserve">: Support to have gap symbol for </w:t>
      </w:r>
      <w:r>
        <w:rPr>
          <w:sz w:val="20"/>
          <w:szCs w:val="20"/>
        </w:rPr>
        <w:t xml:space="preserve">each </w:t>
      </w:r>
      <w:r w:rsidRPr="0051419A">
        <w:rPr>
          <w:sz w:val="20"/>
          <w:szCs w:val="20"/>
        </w:rPr>
        <w:t>SL-PRS in TDM manner within a slot</w:t>
      </w:r>
    </w:p>
    <w:p w14:paraId="330E2D83" w14:textId="7AC5BA95" w:rsidR="0075763C" w:rsidRDefault="0075763C" w:rsidP="00F23E64">
      <w:pPr>
        <w:contextualSpacing/>
        <w:jc w:val="both"/>
        <w:rPr>
          <w:sz w:val="20"/>
          <w:szCs w:val="20"/>
        </w:rPr>
      </w:pPr>
    </w:p>
    <w:p w14:paraId="59574F74" w14:textId="77777777" w:rsidR="0075763C" w:rsidRPr="001A3BA1" w:rsidRDefault="0075763C" w:rsidP="0075763C">
      <w:pPr>
        <w:jc w:val="both"/>
        <w:rPr>
          <w:sz w:val="20"/>
          <w:szCs w:val="20"/>
        </w:rPr>
      </w:pPr>
      <w:r w:rsidRPr="001A3BA1">
        <w:rPr>
          <w:b/>
          <w:bCs/>
          <w:sz w:val="20"/>
          <w:szCs w:val="20"/>
        </w:rPr>
        <w:t>Proposal 5-1</w:t>
      </w:r>
      <w:r w:rsidRPr="001A3BA1">
        <w:rPr>
          <w:sz w:val="20"/>
          <w:szCs w:val="20"/>
        </w:rPr>
        <w:t xml:space="preserve">: </w:t>
      </w:r>
      <w:r>
        <w:rPr>
          <w:sz w:val="20"/>
          <w:szCs w:val="20"/>
        </w:rPr>
        <w:t>S</w:t>
      </w:r>
      <w:r w:rsidRPr="001A3BA1">
        <w:rPr>
          <w:sz w:val="20"/>
          <w:szCs w:val="20"/>
        </w:rPr>
        <w:t>upport comb 8 and 12 for the dedicated resource pool, at least for the case to use half of combs for reducing ICI impact due to CFO between UEs</w:t>
      </w:r>
    </w:p>
    <w:p w14:paraId="0E93DB78" w14:textId="77777777" w:rsidR="0075763C" w:rsidRPr="00235099" w:rsidRDefault="0075763C" w:rsidP="00F23E64">
      <w:pPr>
        <w:contextualSpacing/>
        <w:jc w:val="both"/>
        <w:rPr>
          <w:sz w:val="20"/>
          <w:szCs w:val="20"/>
        </w:rPr>
      </w:pPr>
    </w:p>
    <w:sectPr w:rsidR="0075763C" w:rsidRPr="0023509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0A672" w14:textId="77777777" w:rsidR="00884AA4" w:rsidRDefault="00884AA4">
      <w:r>
        <w:separator/>
      </w:r>
    </w:p>
  </w:endnote>
  <w:endnote w:type="continuationSeparator" w:id="0">
    <w:p w14:paraId="260873F2" w14:textId="77777777" w:rsidR="00884AA4" w:rsidRDefault="0088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93F75" w14:textId="77777777" w:rsidR="00884AA4" w:rsidRDefault="00884AA4">
      <w:r>
        <w:separator/>
      </w:r>
    </w:p>
  </w:footnote>
  <w:footnote w:type="continuationSeparator" w:id="0">
    <w:p w14:paraId="602B9B60" w14:textId="77777777" w:rsidR="00884AA4" w:rsidRDefault="00884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 w15:restartNumberingAfterBreak="0">
    <w:nsid w:val="39A520C4"/>
    <w:multiLevelType w:val="hybridMultilevel"/>
    <w:tmpl w:val="48649308"/>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0"/>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EE"/>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2DA3"/>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37DDD"/>
    <w:rsid w:val="0004021F"/>
    <w:rsid w:val="00040353"/>
    <w:rsid w:val="000406A1"/>
    <w:rsid w:val="000406E2"/>
    <w:rsid w:val="0004082D"/>
    <w:rsid w:val="000408A0"/>
    <w:rsid w:val="000409FC"/>
    <w:rsid w:val="00040A84"/>
    <w:rsid w:val="00040B23"/>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7A5"/>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46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44E"/>
    <w:rsid w:val="00074589"/>
    <w:rsid w:val="00074625"/>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77C54"/>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EEA"/>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A63"/>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293"/>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3AF"/>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220"/>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4E39"/>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BA1"/>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56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23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AB8"/>
    <w:rsid w:val="00284BD1"/>
    <w:rsid w:val="00284EFF"/>
    <w:rsid w:val="0028507E"/>
    <w:rsid w:val="00285156"/>
    <w:rsid w:val="00285346"/>
    <w:rsid w:val="00285510"/>
    <w:rsid w:val="00285554"/>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0DE"/>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B08"/>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4E2"/>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A0F"/>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BE5"/>
    <w:rsid w:val="00390C77"/>
    <w:rsid w:val="00390EA5"/>
    <w:rsid w:val="003910E4"/>
    <w:rsid w:val="003913AD"/>
    <w:rsid w:val="0039146A"/>
    <w:rsid w:val="003914BF"/>
    <w:rsid w:val="0039165B"/>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A77"/>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67"/>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30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6A13"/>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03B"/>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9B"/>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041"/>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BFA"/>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19A"/>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8B6"/>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36"/>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2FB"/>
    <w:rsid w:val="0058755B"/>
    <w:rsid w:val="005875C4"/>
    <w:rsid w:val="005876C8"/>
    <w:rsid w:val="005877E5"/>
    <w:rsid w:val="005879B6"/>
    <w:rsid w:val="00587BA2"/>
    <w:rsid w:val="00587FA5"/>
    <w:rsid w:val="005901B8"/>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A2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C37"/>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05BB"/>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69A"/>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1B"/>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DC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885"/>
    <w:rsid w:val="006C08A3"/>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9CD"/>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01"/>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3C"/>
    <w:rsid w:val="00757647"/>
    <w:rsid w:val="007579A0"/>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0E"/>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2E70"/>
    <w:rsid w:val="0078342D"/>
    <w:rsid w:val="00783558"/>
    <w:rsid w:val="007835AB"/>
    <w:rsid w:val="00783681"/>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3D7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D7B9D"/>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6E11"/>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07"/>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A4"/>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580"/>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0BF"/>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4E7"/>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E42"/>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1EA4"/>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651"/>
    <w:rsid w:val="009E38D0"/>
    <w:rsid w:val="009E3B3D"/>
    <w:rsid w:val="009E3F19"/>
    <w:rsid w:val="009E4244"/>
    <w:rsid w:val="009E42A5"/>
    <w:rsid w:val="009E49CD"/>
    <w:rsid w:val="009E4A3B"/>
    <w:rsid w:val="009E4B0F"/>
    <w:rsid w:val="009E4B2D"/>
    <w:rsid w:val="009E4CBD"/>
    <w:rsid w:val="009E4D49"/>
    <w:rsid w:val="009E5020"/>
    <w:rsid w:val="009E523A"/>
    <w:rsid w:val="009E55CF"/>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779"/>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8B2"/>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9D1"/>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5A82"/>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A0C"/>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4C94"/>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C08"/>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2C2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32"/>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2B2"/>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6F2D"/>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254"/>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B38"/>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3FE"/>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4548"/>
    <w:rsid w:val="00BC4C19"/>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79A"/>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9A"/>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4FC"/>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DA"/>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40A"/>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C9D"/>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C72"/>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CD2"/>
    <w:rsid w:val="00C94D94"/>
    <w:rsid w:val="00C94E7F"/>
    <w:rsid w:val="00C9588B"/>
    <w:rsid w:val="00C95B2E"/>
    <w:rsid w:val="00C95DAA"/>
    <w:rsid w:val="00C95E74"/>
    <w:rsid w:val="00C95FB5"/>
    <w:rsid w:val="00C962AF"/>
    <w:rsid w:val="00C9630B"/>
    <w:rsid w:val="00C965B2"/>
    <w:rsid w:val="00C968C3"/>
    <w:rsid w:val="00C96AEE"/>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40D"/>
    <w:rsid w:val="00CA15E0"/>
    <w:rsid w:val="00CA17C3"/>
    <w:rsid w:val="00CA1A53"/>
    <w:rsid w:val="00CA1ADB"/>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0C"/>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A1E"/>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6DD5"/>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130"/>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131"/>
    <w:rsid w:val="00E734D9"/>
    <w:rsid w:val="00E738B1"/>
    <w:rsid w:val="00E738F3"/>
    <w:rsid w:val="00E739BA"/>
    <w:rsid w:val="00E73C4D"/>
    <w:rsid w:val="00E73C78"/>
    <w:rsid w:val="00E73D4E"/>
    <w:rsid w:val="00E73EA7"/>
    <w:rsid w:val="00E7434D"/>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937"/>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21D"/>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2F3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5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779"/>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55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57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1295</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2023-08-11T17:55:00Z</dcterms:created>
  <dcterms:modified xsi:type="dcterms:W3CDTF">2023-08-11T17:55:00Z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